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307" w:rsidRPr="00244FF8" w:rsidRDefault="00C53307" w:rsidP="00C53307">
      <w:pPr>
        <w:widowControl/>
        <w:shd w:val="clear" w:color="auto" w:fill="FFFFFF"/>
        <w:spacing w:line="600" w:lineRule="atLeast"/>
        <w:jc w:val="left"/>
        <w:rPr>
          <w:rFonts w:ascii="宋体" w:hAnsi="宋体" w:cs="宋体"/>
          <w:color w:val="333333"/>
          <w:kern w:val="0"/>
        </w:rPr>
      </w:pPr>
      <w:r w:rsidRPr="00244FF8">
        <w:rPr>
          <w:rFonts w:ascii="方正黑体_GBK" w:eastAsia="方正黑体_GBK" w:hAnsi="宋体" w:cs="宋体" w:hint="eastAsia"/>
          <w:color w:val="000000"/>
          <w:kern w:val="0"/>
          <w:sz w:val="28"/>
          <w:szCs w:val="36"/>
        </w:rPr>
        <w:t>附件</w:t>
      </w:r>
    </w:p>
    <w:p w:rsidR="00C53307" w:rsidRPr="00244FF8" w:rsidRDefault="00C53307" w:rsidP="00C53307">
      <w:pPr>
        <w:widowControl/>
        <w:shd w:val="clear" w:color="auto" w:fill="FFFFFF"/>
        <w:jc w:val="center"/>
        <w:rPr>
          <w:rFonts w:ascii="宋体" w:hAnsi="宋体" w:cs="宋体"/>
          <w:color w:val="333333"/>
          <w:kern w:val="0"/>
        </w:rPr>
      </w:pPr>
      <w:r w:rsidRPr="00244FF8">
        <w:rPr>
          <w:rFonts w:ascii="方正小标宋_GBK" w:eastAsia="方正小标宋_GBK" w:hAnsi="宋体" w:cs="宋体" w:hint="eastAsia"/>
          <w:color w:val="000000"/>
          <w:kern w:val="0"/>
          <w:sz w:val="36"/>
          <w:szCs w:val="44"/>
        </w:rPr>
        <w:t>2018年安徽省职业院校技能大赛</w:t>
      </w:r>
    </w:p>
    <w:p w:rsidR="00C53307" w:rsidRPr="00244FF8" w:rsidRDefault="00C53307" w:rsidP="00C53307">
      <w:pPr>
        <w:widowControl/>
        <w:shd w:val="clear" w:color="auto" w:fill="FFFFFF"/>
        <w:spacing w:line="560" w:lineRule="atLeast"/>
        <w:jc w:val="center"/>
        <w:rPr>
          <w:rFonts w:ascii="宋体" w:hAnsi="宋体" w:cs="宋体"/>
          <w:color w:val="333333"/>
          <w:kern w:val="0"/>
        </w:rPr>
      </w:pPr>
      <w:r w:rsidRPr="00244FF8">
        <w:rPr>
          <w:rFonts w:ascii="方正小标宋_GBK" w:eastAsia="方正小标宋_GBK" w:hAnsi="宋体" w:cs="宋体" w:hint="eastAsia"/>
          <w:color w:val="000000"/>
          <w:kern w:val="0"/>
          <w:sz w:val="36"/>
          <w:szCs w:val="44"/>
        </w:rPr>
        <w:t>（高职组）方案</w:t>
      </w:r>
    </w:p>
    <w:p w:rsidR="00C53307" w:rsidRPr="00244FF8" w:rsidRDefault="00C53307" w:rsidP="00C53307">
      <w:pPr>
        <w:widowControl/>
        <w:shd w:val="clear" w:color="auto" w:fill="FFFFFF"/>
        <w:spacing w:line="560" w:lineRule="atLeast"/>
        <w:jc w:val="center"/>
        <w:rPr>
          <w:rFonts w:ascii="宋体" w:hAnsi="宋体" w:cs="宋体"/>
          <w:color w:val="333333"/>
          <w:kern w:val="0"/>
        </w:rPr>
      </w:pPr>
      <w:r w:rsidRPr="00244FF8">
        <w:rPr>
          <w:rFonts w:ascii="方正仿宋_GBK" w:eastAsia="方正仿宋_GBK" w:hAnsi="宋体" w:cs="宋体" w:hint="eastAsia"/>
          <w:color w:val="000000"/>
          <w:kern w:val="0"/>
          <w:sz w:val="28"/>
          <w:szCs w:val="36"/>
        </w:rPr>
        <w:t> </w:t>
      </w:r>
      <w:bookmarkStart w:id="0" w:name="_GoBack"/>
      <w:bookmarkEnd w:id="0"/>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黑体" w:eastAsia="黑体" w:hAnsi="宋体" w:cs="宋体" w:hint="eastAsia"/>
          <w:color w:val="000000"/>
          <w:kern w:val="0"/>
          <w:sz w:val="28"/>
          <w:szCs w:val="36"/>
        </w:rPr>
        <w:t>一、大赛宗旨</w:t>
      </w:r>
    </w:p>
    <w:p w:rsidR="00C53307" w:rsidRPr="00244FF8" w:rsidRDefault="00C53307" w:rsidP="00C53307">
      <w:pPr>
        <w:widowControl/>
        <w:shd w:val="clear" w:color="auto" w:fill="FFFFFF"/>
        <w:spacing w:line="580" w:lineRule="atLeast"/>
        <w:ind w:firstLine="79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深入贯彻《安徽省人民政府关于印发一流学科专业与高水平大学建设五年行动计划的通知》《安徽省教育厅关于印发&lt;安徽省高职教育创新发展实施方案&gt;的通知》(皖教高〔2016〕5号)等文件精神，进一步推动职业院校教育教学改革，提高教育教学质量，充分展示职业院校教学成果和学生风采，突出“大赛点亮人生 技能改变命运”的时代主题，努力营造职业教育创新创业氛围，促进职业院校与行业企业的产教结合，更好地为安徽经济建设和社会发展服务。通过大赛，展现职业院校师生良好的精神风貌和娴熟的职业技能，充分展示安徽职业教育改革发展的成果。大赛重在参与，同台竞技，共同提高。</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黑体" w:eastAsia="黑体" w:hAnsi="宋体" w:cs="宋体" w:hint="eastAsia"/>
          <w:color w:val="000000"/>
          <w:kern w:val="0"/>
          <w:sz w:val="28"/>
          <w:szCs w:val="36"/>
        </w:rPr>
        <w:t>二、主办单位和承办单位</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大赛由省教育厅、省人力资源和社会保障厅、省经济和信息化委员会联合主办；高职组项目由芜湖职业技术学院、安徽职业技术学院、安徽商贸职业技术学院、安徽工商职业学院等25所高职院校具体承办。</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黑体" w:eastAsia="黑体" w:hAnsi="宋体" w:cs="宋体" w:hint="eastAsia"/>
          <w:color w:val="000000"/>
          <w:kern w:val="0"/>
          <w:sz w:val="28"/>
          <w:szCs w:val="36"/>
        </w:rPr>
        <w:t>三、组织领导</w:t>
      </w:r>
    </w:p>
    <w:p w:rsidR="00C53307" w:rsidRPr="00244FF8" w:rsidRDefault="00C53307" w:rsidP="00C53307">
      <w:pPr>
        <w:widowControl/>
        <w:shd w:val="clear" w:color="auto" w:fill="FFFFFF"/>
        <w:spacing w:line="580" w:lineRule="atLeast"/>
        <w:ind w:firstLine="632"/>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lastRenderedPageBreak/>
        <w:t>具体见《安徽省教育厅 安徽省经济和信息化委员会 安徽省人力资源和社会保障厅关于印发2018年安徽省职业院校技能大赛方案的通知》（皖教职成〔2017〕9号）。</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黑体" w:eastAsia="黑体" w:hAnsi="宋体" w:cs="宋体" w:hint="eastAsia"/>
          <w:color w:val="000000"/>
          <w:kern w:val="0"/>
          <w:sz w:val="28"/>
          <w:szCs w:val="36"/>
        </w:rPr>
        <w:t>四、大赛时间</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所有学生赛项须于2018年3月底前完成，各赛项比赛的具体时间由各承办院校安排。</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黑体" w:eastAsia="黑体" w:hAnsi="宋体" w:cs="宋体" w:hint="eastAsia"/>
          <w:color w:val="000000"/>
          <w:kern w:val="0"/>
          <w:sz w:val="28"/>
          <w:szCs w:val="36"/>
        </w:rPr>
        <w:t>五、参赛对象</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依据《2018年安徽省职业院校技能大赛方案》执行；</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教师组参赛对象依据教育部信息化教学大赛相关要求另行通知。</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黑体" w:eastAsia="黑体" w:hAnsi="宋体" w:cs="宋体" w:hint="eastAsia"/>
          <w:color w:val="000000"/>
          <w:kern w:val="0"/>
          <w:sz w:val="28"/>
          <w:szCs w:val="36"/>
        </w:rPr>
        <w:t>六、大赛项目</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大赛项目分为学生组和教师组。</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（一）具体项目</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学生组设财经商贸大类、电子信息大类、公共管理与服务大类、交通运输大类、教育与体育大类、旅游大类、能源动力与材料大类、农林牧渔大类、轻工纺织大类、生物与化工大类、土木建筑大类、文化艺术大类、医药卫生大类、装备制造大类、资源环境与安全大类等专业大类56个项目。</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1.农林牧渔大类：农产品质量安全检测、园林景观设计与施工、鸡新城疫抗体水平测定；</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lastRenderedPageBreak/>
        <w:t>2.资源环境与安全大类：珠宝玉石鉴定、工程测量、大气环境监测与治理技术、岩矿鉴定与综合地质编录技术、矿井灾害应急救援技术、数字化矿山监测技术；</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3.能源动力与材料大类：风光互补发电系统安装与调试、金属冶炼与设备检修；</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4.土木建筑大类：建筑工程识图、建筑智能化系统安装与调试；</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5.装备制造大类：工业产品数字化设计与制造、复杂部件数控多轴联动加工技术、制造单元智能化改造与集成技术、数控机床装调与技术改造、机电一体化项目、现代电气控制系统安装与调试、智能电梯装调与维护、工业机器人技术应用、新能源汽车技术与服务、汽车检测与维修、船舶主机和轴系安装、自动化生产线安装与调试；</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6.轻工纺织大类：服装设计与工艺；</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7.生物与化工大类：化工生产技术、工业分析检验；</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8.交通运输大类</w:t>
      </w:r>
      <w:r w:rsidRPr="00244FF8">
        <w:rPr>
          <w:rFonts w:ascii="方正仿宋_GBK" w:eastAsia="方正仿宋_GBK" w:hAnsi="宋体" w:cs="宋体" w:hint="eastAsia"/>
          <w:color w:val="000000"/>
          <w:kern w:val="0"/>
          <w:sz w:val="28"/>
          <w:szCs w:val="36"/>
        </w:rPr>
        <w:t> </w:t>
      </w:r>
      <w:r w:rsidRPr="00244FF8">
        <w:rPr>
          <w:rFonts w:ascii="方正仿宋_GBK" w:eastAsia="方正仿宋_GBK" w:hAnsi="宋体" w:cs="宋体" w:hint="eastAsia"/>
          <w:color w:val="000000"/>
          <w:kern w:val="0"/>
          <w:sz w:val="28"/>
          <w:szCs w:val="36"/>
        </w:rPr>
        <w:t>：轨道交通信号控制系统设计与应用；</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9.电子信息大类：电子产品设计及制作、电子产品芯片级检测维修与数据恢复、光伏电子工程的设计与实施、物联网技术应用、大数据技术与应用、虚拟现实（VR）设计与制作、计算机网络应用、软件测试、嵌入式技术应用开发、信息安全管理与评估、移动互联网应用软件开发、云计算技术与应用；</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10.医药卫生大类：护理技能、中药传统技能；</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lastRenderedPageBreak/>
        <w:t>11.财经商贸大类：银行业务综合技能、会计技能、互联网+国际贸易综合技能、市场营销技能、电子商务技能、智慧物流作业方案设计与实施；</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12.旅游大类：导游服务、中餐主题宴会设计、西餐宴会服务；</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13.教育与体育大类：学前教育专业教育技能、英语口语；</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14.文化艺术大类：艺术专业技能（弹拨乐器演奏）</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15.公共管理与服务大类：养老服务技能。</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教师组赛项为教师信息化教学大赛，具体赛项、报名时间、程序等将结合全国职业院校信息化大赛的要求另行通知。</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2018年高职组省级各赛项的奖项设置基本对接国赛赛制，每校每赛项参赛队数量原则上不超过2支，最终各项目每校参赛队数按照各赛项竞赛规程执行。原则上各赛项对应专业有一届毕业生必须组队参加相应赛项比赛。原则上赛项报名不足3支代表队的赛项，取消该项目。</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（二）承办项目院校</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根据自愿申请的原则，综合考虑院校的办学特色、专业优势、承办条件以及参加或承办大赛经验等，经研究，决定由以下学校承办相关项目的赛事。</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1.芜湖职业技术学院：农产品质量安全检测、鸡新城疫抗体水平测定、数控机床装调与技术改造、现代电气控制系统安装与调试、光伏电子工程的设计与实施、嵌入式技术应用开发；</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lastRenderedPageBreak/>
        <w:t>2.安徽职业技术学院：制造单元智能化改造与集成技术、工业分析与检验、化工生产技术、电子产品芯片级检测维修与数据恢复、大数据技术与应用、</w:t>
      </w:r>
      <w:r w:rsidRPr="00244FF8">
        <w:rPr>
          <w:rFonts w:ascii="方正仿宋_GBK" w:eastAsia="方正仿宋_GBK" w:hAnsi="宋体" w:cs="宋体" w:hint="eastAsia"/>
          <w:color w:val="000000"/>
          <w:kern w:val="0"/>
          <w:sz w:val="28"/>
          <w:szCs w:val="36"/>
          <w:shd w:val="clear" w:color="auto" w:fill="FFFFFF"/>
        </w:rPr>
        <w:t>自动化生产线安装与调试</w:t>
      </w:r>
      <w:r w:rsidRPr="00244FF8">
        <w:rPr>
          <w:rFonts w:ascii="方正仿宋_GBK" w:eastAsia="方正仿宋_GBK" w:hAnsi="宋体" w:cs="宋体" w:hint="eastAsia"/>
          <w:color w:val="000000"/>
          <w:kern w:val="0"/>
          <w:sz w:val="28"/>
          <w:szCs w:val="36"/>
        </w:rPr>
        <w:t>；</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3.安徽水利水电职业技术学院：建筑工程识图；</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4.安徽财贸职业学院：银行业务综合技能、电子商务技能；</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5.淮南联合大学：工程测量；</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6.安徽工商职业学院：市场营销技能、导游服务、英语口语、</w:t>
      </w:r>
      <w:r w:rsidRPr="00244FF8">
        <w:rPr>
          <w:rFonts w:ascii="方正仿宋_GBK" w:eastAsia="方正仿宋_GBK" w:hAnsi="宋体" w:cs="宋体" w:hint="eastAsia"/>
          <w:color w:val="000000"/>
          <w:kern w:val="0"/>
          <w:sz w:val="28"/>
          <w:szCs w:val="36"/>
          <w:shd w:val="clear" w:color="auto" w:fill="FFFFFF"/>
        </w:rPr>
        <w:t>中餐主题宴会设计</w:t>
      </w:r>
      <w:r w:rsidRPr="00244FF8">
        <w:rPr>
          <w:rFonts w:ascii="方正仿宋_GBK" w:eastAsia="方正仿宋_GBK" w:hAnsi="宋体" w:cs="宋体" w:hint="eastAsia"/>
          <w:color w:val="000000"/>
          <w:kern w:val="0"/>
          <w:sz w:val="28"/>
          <w:szCs w:val="36"/>
        </w:rPr>
        <w:t>；</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7.安徽工业经济职业技术学院：珠宝玉石鉴定、岩矿鉴定与综合地质编录技术、</w:t>
      </w:r>
      <w:r w:rsidRPr="00244FF8">
        <w:rPr>
          <w:rFonts w:ascii="方正仿宋_GBK" w:eastAsia="方正仿宋_GBK" w:hAnsi="宋体" w:cs="宋体" w:hint="eastAsia"/>
          <w:color w:val="000000"/>
          <w:kern w:val="0"/>
          <w:sz w:val="28"/>
          <w:szCs w:val="36"/>
          <w:shd w:val="clear" w:color="auto" w:fill="FFFFFF"/>
        </w:rPr>
        <w:t>西餐宴会服务</w:t>
      </w:r>
      <w:r w:rsidRPr="00244FF8">
        <w:rPr>
          <w:rFonts w:ascii="方正仿宋_GBK" w:eastAsia="方正仿宋_GBK" w:hAnsi="宋体" w:cs="宋体" w:hint="eastAsia"/>
          <w:color w:val="000000"/>
          <w:kern w:val="0"/>
          <w:sz w:val="28"/>
          <w:szCs w:val="36"/>
        </w:rPr>
        <w:t>；</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8.安徽国际商务职业学院：虚拟现实（VR）设计与制作、互联网+国际贸易综合技能；</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9.安徽城市管理职业学院：服装设计与工艺、养老服务技能；</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10.安徽电子信息职业技术学院：软件测试；</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11.安徽机电职业技术学院：风光互补发电系统安装与调试、工业产品数字化设计与制造、复杂部件数控多轴联动加工技术、智能电梯装调与维护、工业机器人技术应用；</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12.安徽交通职业技术学院：轨道交通信号控制系统设计与应用、船舶主机和轴系安装；</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13.安徽商贸职业技术学院：园林景观设计与施工、信息安全管理与评估、云计算技术与应用、会计技能；</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14.安徽医学高等专科学校：护理技能；</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lastRenderedPageBreak/>
        <w:t>15.安徽艺术职业学院：艺术专业技能（弹拨乐器演奏）；</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16.安徽邮电职业技术学院：计算机网络应用；</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17.亳州职业技术学院：中药传统技能；</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18.安庆职业技术学院：大气环境监测与治理技术、</w:t>
      </w:r>
      <w:r w:rsidRPr="00244FF8">
        <w:rPr>
          <w:rFonts w:ascii="方正仿宋_GBK" w:eastAsia="方正仿宋_GBK" w:hAnsi="宋体" w:cs="宋体" w:hint="eastAsia"/>
          <w:color w:val="000000"/>
          <w:kern w:val="0"/>
          <w:sz w:val="28"/>
          <w:szCs w:val="36"/>
          <w:shd w:val="clear" w:color="auto" w:fill="FFFFFF"/>
        </w:rPr>
        <w:t>建筑智能化系统安装与调试</w:t>
      </w:r>
      <w:r w:rsidRPr="00244FF8">
        <w:rPr>
          <w:rFonts w:ascii="方正仿宋_GBK" w:eastAsia="方正仿宋_GBK" w:hAnsi="宋体" w:cs="宋体" w:hint="eastAsia"/>
          <w:color w:val="000000"/>
          <w:kern w:val="0"/>
          <w:sz w:val="28"/>
          <w:szCs w:val="36"/>
        </w:rPr>
        <w:t>；</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19.合肥幼儿师范高等专科学校：学前教育专业教育技能；</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20.合肥职业技术学院：新能源汽车技术与服务、汽车检测与维修、物联网技术应用；</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21.徽商职业学院：移动互联网应用软件开发、智慧物流作业方案设计与实施；</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22.安徽国防科技职业学院：机电一体化项目；</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23.安徽冶金职业技术学院：金属冶炼与设备检修；</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24.池州职业技术学院：电子产品设计及制作；</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25.淮南职业技术学院：矿井灾害应急救援技术、数字化矿山监测技术。</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黑体" w:eastAsia="黑体" w:hAnsi="宋体" w:cs="宋体" w:hint="eastAsia"/>
          <w:color w:val="000000"/>
          <w:kern w:val="0"/>
          <w:sz w:val="28"/>
          <w:szCs w:val="36"/>
        </w:rPr>
        <w:t>七、大赛报名</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本次大赛学生组正式报名时间为2018年1月19日至23日，请各参赛院校登陆安徽高教网“高职院校技能大赛省级信息系统”填报。网上报名期间，允许更改报名信息；超过截止日期，不允许更改。参赛选手参赛时需携带学生证、身份证和选手报名表（附件）交由赛项承办单位查验。各承办院校要在学校网站主页醒目位置及时发布大赛报名、比赛要求、赛事指南等相关信息。</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lastRenderedPageBreak/>
        <w:t>各参赛院校应指定1名负责人任赛项领队，负责参赛事务的组织、协调和领导工作。</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黑体" w:eastAsia="黑体" w:hAnsi="宋体" w:cs="宋体" w:hint="eastAsia"/>
          <w:color w:val="000000"/>
          <w:kern w:val="0"/>
          <w:sz w:val="28"/>
          <w:szCs w:val="36"/>
        </w:rPr>
        <w:t>八、大赛竞赛规程</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竞赛规程及赛事的相关规定由赛项承办院校牵头组织编写，编写组成员至少有三分之二以上的外校专家。大赛规程等赛事事项要密切关注全国职业院校技能大赛有关情况，尽可能将全国职业院校技能大赛赛项要求纳入省赛中。各承办院校请于1月25日前将竞赛规程等以正式文件形式报送至省教育厅高教处906室，电子文档发送至ahgzjy@ahedu.gov.cn。各承办校于2018年1月16日前将赛项联系人方式电子版（含赛项名称、承办校、联系人固定电话、手机号、邮箱、QQ号）报送省教育厅高教处ahgzjy@ahedu.gov.cn。</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教师组竞赛规程根据教育部2018年全国职业院校信息化大赛的要求制定，并在安徽高教网上予以公布。</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黑体" w:eastAsia="黑体" w:hAnsi="宋体" w:cs="宋体" w:hint="eastAsia"/>
          <w:color w:val="000000"/>
          <w:kern w:val="0"/>
          <w:sz w:val="28"/>
          <w:szCs w:val="36"/>
        </w:rPr>
        <w:t>九、有关费用</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大赛不收取参赛费用与报名费用。大赛期间食宿统一安排，费用自理。</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黑体" w:eastAsia="黑体" w:hAnsi="宋体" w:cs="宋体" w:hint="eastAsia"/>
          <w:color w:val="000000"/>
          <w:kern w:val="0"/>
          <w:sz w:val="28"/>
          <w:szCs w:val="36"/>
        </w:rPr>
        <w:t>十、奖励办法</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依据《2018年安徽省职业院校技能大赛方案》奖励办法进行奖励。</w:t>
      </w:r>
    </w:p>
    <w:p w:rsidR="00C53307" w:rsidRPr="00244FF8" w:rsidRDefault="00C53307" w:rsidP="00C53307">
      <w:pPr>
        <w:widowControl/>
        <w:shd w:val="clear" w:color="auto" w:fill="FFFFFF"/>
        <w:spacing w:line="580" w:lineRule="atLeast"/>
        <w:ind w:firstLine="640"/>
        <w:jc w:val="left"/>
        <w:rPr>
          <w:rFonts w:ascii="宋体" w:hAnsi="宋体" w:cs="宋体"/>
          <w:color w:val="333333"/>
          <w:kern w:val="0"/>
        </w:rPr>
      </w:pPr>
      <w:r w:rsidRPr="00244FF8">
        <w:rPr>
          <w:rFonts w:ascii="方正仿宋_GBK" w:eastAsia="方正仿宋_GBK" w:hAnsi="宋体" w:cs="宋体" w:hint="eastAsia"/>
          <w:color w:val="000000"/>
          <w:kern w:val="0"/>
          <w:sz w:val="28"/>
          <w:szCs w:val="36"/>
        </w:rPr>
        <w:t>附件：2018年安徽省职业院校技能大赛选手报名表（高职组）</w:t>
      </w:r>
    </w:p>
    <w:p w:rsidR="00C53307" w:rsidRPr="00244FF8" w:rsidRDefault="00C53307" w:rsidP="00C53307">
      <w:pPr>
        <w:widowControl/>
        <w:shd w:val="clear" w:color="auto" w:fill="FFFFFF"/>
        <w:jc w:val="left"/>
        <w:rPr>
          <w:rFonts w:ascii="Helvetica" w:hAnsi="Helvetica" w:cs="Helvetica"/>
          <w:color w:val="333333"/>
          <w:kern w:val="0"/>
          <w:sz w:val="18"/>
          <w:szCs w:val="21"/>
        </w:rPr>
      </w:pPr>
      <w:r w:rsidRPr="00244FF8">
        <w:rPr>
          <w:rFonts w:ascii="方正仿宋_GBK" w:eastAsia="方正仿宋_GBK" w:hAnsi="Helvetica" w:cs="Helvetica" w:hint="eastAsia"/>
          <w:b/>
          <w:bCs/>
          <w:color w:val="000000"/>
          <w:kern w:val="0"/>
          <w:sz w:val="24"/>
          <w:szCs w:val="32"/>
        </w:rPr>
        <w:br w:type="textWrapping" w:clear="all"/>
      </w:r>
    </w:p>
    <w:p w:rsidR="00C53307" w:rsidRPr="00244FF8" w:rsidRDefault="00C53307" w:rsidP="00C53307">
      <w:pPr>
        <w:widowControl/>
        <w:shd w:val="clear" w:color="auto" w:fill="FFFFFF"/>
        <w:spacing w:line="580" w:lineRule="atLeast"/>
        <w:jc w:val="left"/>
        <w:rPr>
          <w:rFonts w:ascii="宋体" w:hAnsi="宋体" w:cs="宋体"/>
          <w:color w:val="333333"/>
          <w:kern w:val="0"/>
        </w:rPr>
      </w:pPr>
      <w:r w:rsidRPr="00244FF8">
        <w:rPr>
          <w:rFonts w:ascii="方正黑体_GBK" w:eastAsia="方正黑体_GBK" w:hAnsi="宋体" w:cs="宋体" w:hint="eastAsia"/>
          <w:color w:val="000000"/>
          <w:spacing w:val="-10"/>
          <w:kern w:val="0"/>
          <w:sz w:val="28"/>
          <w:szCs w:val="36"/>
        </w:rPr>
        <w:t>附件</w:t>
      </w:r>
    </w:p>
    <w:p w:rsidR="00C53307" w:rsidRPr="00244FF8" w:rsidRDefault="00C53307" w:rsidP="00C53307">
      <w:pPr>
        <w:widowControl/>
        <w:shd w:val="clear" w:color="auto" w:fill="FFFFFF"/>
        <w:spacing w:line="480" w:lineRule="atLeast"/>
        <w:jc w:val="center"/>
        <w:rPr>
          <w:rFonts w:ascii="宋体" w:hAnsi="宋体" w:cs="宋体"/>
          <w:color w:val="333333"/>
          <w:kern w:val="0"/>
        </w:rPr>
      </w:pPr>
      <w:r w:rsidRPr="00244FF8">
        <w:rPr>
          <w:rFonts w:ascii="方正小标宋_GBK" w:eastAsia="方正小标宋_GBK" w:hAnsi="宋体" w:cs="宋体" w:hint="eastAsia"/>
          <w:color w:val="000000"/>
          <w:spacing w:val="-10"/>
          <w:kern w:val="0"/>
          <w:sz w:val="28"/>
          <w:szCs w:val="36"/>
        </w:rPr>
        <w:lastRenderedPageBreak/>
        <w:t>2018年安徽省职业学校技能大赛选手报名表</w:t>
      </w:r>
    </w:p>
    <w:p w:rsidR="00C53307" w:rsidRPr="00244FF8" w:rsidRDefault="00C53307" w:rsidP="00C53307">
      <w:pPr>
        <w:widowControl/>
        <w:shd w:val="clear" w:color="auto" w:fill="FFFFFF"/>
        <w:spacing w:line="480" w:lineRule="atLeast"/>
        <w:jc w:val="center"/>
        <w:rPr>
          <w:rFonts w:ascii="宋体" w:hAnsi="宋体" w:cs="宋体"/>
          <w:color w:val="333333"/>
          <w:kern w:val="0"/>
        </w:rPr>
      </w:pPr>
      <w:r w:rsidRPr="00244FF8">
        <w:rPr>
          <w:rFonts w:ascii="方正仿宋_GBK" w:eastAsia="方正仿宋_GBK" w:hAnsi="宋体" w:cs="宋体" w:hint="eastAsia"/>
          <w:color w:val="000000"/>
          <w:kern w:val="0"/>
          <w:sz w:val="28"/>
          <w:szCs w:val="36"/>
        </w:rPr>
        <w:t>（高职组）</w:t>
      </w:r>
    </w:p>
    <w:p w:rsidR="00C53307" w:rsidRPr="00244FF8" w:rsidRDefault="00C53307" w:rsidP="00C53307">
      <w:pPr>
        <w:widowControl/>
        <w:shd w:val="clear" w:color="auto" w:fill="FFFFFF"/>
        <w:spacing w:line="500" w:lineRule="atLeast"/>
        <w:jc w:val="left"/>
        <w:rPr>
          <w:rFonts w:ascii="宋体" w:hAnsi="宋体" w:cs="宋体"/>
          <w:color w:val="333333"/>
          <w:kern w:val="0"/>
        </w:rPr>
      </w:pPr>
      <w:r w:rsidRPr="00244FF8">
        <w:rPr>
          <w:rFonts w:ascii="方正仿宋_GBK" w:eastAsia="方正仿宋_GBK" w:hAnsi="宋体" w:cs="宋体" w:hint="eastAsia"/>
          <w:color w:val="000000"/>
          <w:kern w:val="0"/>
          <w:sz w:val="28"/>
          <w:szCs w:val="36"/>
          <w:u w:val="single"/>
        </w:rPr>
        <w:t>{填报单位}</w:t>
      </w:r>
      <w:r w:rsidRPr="00244FF8">
        <w:rPr>
          <w:rFonts w:ascii="方正仿宋_GBK" w:eastAsia="方正仿宋_GBK" w:hAnsi="宋体" w:cs="宋体" w:hint="eastAsia"/>
          <w:color w:val="000000"/>
          <w:kern w:val="0"/>
          <w:sz w:val="28"/>
          <w:szCs w:val="36"/>
          <w:u w:val="single"/>
        </w:rPr>
        <w:t>            </w:t>
      </w:r>
      <w:r w:rsidRPr="00244FF8">
        <w:rPr>
          <w:rFonts w:ascii="方正仿宋_GBK" w:eastAsia="方正仿宋_GBK" w:hAnsi="宋体" w:cs="宋体" w:hint="eastAsia"/>
          <w:color w:val="000000"/>
          <w:kern w:val="0"/>
          <w:sz w:val="28"/>
          <w:szCs w:val="36"/>
          <w:u w:val="single"/>
        </w:rPr>
        <w:t>（</w:t>
      </w:r>
      <w:r w:rsidRPr="00244FF8">
        <w:rPr>
          <w:rFonts w:ascii="方正仿宋_GBK" w:eastAsia="方正仿宋_GBK" w:hAnsi="宋体" w:cs="宋体" w:hint="eastAsia"/>
          <w:color w:val="000000"/>
          <w:kern w:val="0"/>
          <w:sz w:val="28"/>
          <w:szCs w:val="36"/>
        </w:rPr>
        <w:t>院校）代表队</w:t>
      </w:r>
    </w:p>
    <w:tbl>
      <w:tblPr>
        <w:tblW w:w="0" w:type="auto"/>
        <w:tblInd w:w="-102" w:type="dxa"/>
        <w:tblCellMar>
          <w:left w:w="0" w:type="dxa"/>
          <w:right w:w="0" w:type="dxa"/>
        </w:tblCellMar>
        <w:tblLook w:val="04A0" w:firstRow="1" w:lastRow="0" w:firstColumn="1" w:lastColumn="0" w:noHBand="0" w:noVBand="1"/>
      </w:tblPr>
      <w:tblGrid>
        <w:gridCol w:w="516"/>
        <w:gridCol w:w="524"/>
        <w:gridCol w:w="631"/>
        <w:gridCol w:w="399"/>
        <w:gridCol w:w="856"/>
        <w:gridCol w:w="602"/>
        <w:gridCol w:w="399"/>
        <w:gridCol w:w="616"/>
        <w:gridCol w:w="399"/>
        <w:gridCol w:w="616"/>
        <w:gridCol w:w="399"/>
        <w:gridCol w:w="1364"/>
        <w:gridCol w:w="1057"/>
      </w:tblGrid>
      <w:tr w:rsidR="00C53307" w:rsidRPr="00244FF8" w:rsidTr="00FC4B4E">
        <w:trPr>
          <w:trHeight w:val="534"/>
        </w:trPr>
        <w:tc>
          <w:tcPr>
            <w:tcW w:w="1162"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参赛类别</w:t>
            </w:r>
          </w:p>
        </w:tc>
        <w:tc>
          <w:tcPr>
            <w:tcW w:w="2433" w:type="dxa"/>
            <w:gridSpan w:val="4"/>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1703" w:type="dxa"/>
            <w:gridSpan w:val="4"/>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参赛项目</w:t>
            </w:r>
          </w:p>
        </w:tc>
        <w:tc>
          <w:tcPr>
            <w:tcW w:w="2624" w:type="dxa"/>
            <w:gridSpan w:val="3"/>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1240" w:type="dxa"/>
            <w:vMerge w:val="restart"/>
            <w:tcBorders>
              <w:top w:val="single" w:sz="12" w:space="0" w:color="auto"/>
              <w:left w:val="nil"/>
              <w:bottom w:val="single" w:sz="8" w:space="0" w:color="auto"/>
              <w:right w:val="single" w:sz="12" w:space="0" w:color="auto"/>
            </w:tcBorders>
            <w:shd w:val="clear" w:color="auto" w:fill="auto"/>
            <w:tcMar>
              <w:top w:w="0" w:type="dxa"/>
              <w:left w:w="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r>
      <w:tr w:rsidR="00C53307" w:rsidRPr="00244FF8" w:rsidTr="00FC4B4E">
        <w:trPr>
          <w:trHeight w:val="701"/>
        </w:trPr>
        <w:tc>
          <w:tcPr>
            <w:tcW w:w="116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姓名</w:t>
            </w:r>
          </w:p>
        </w:tc>
        <w:tc>
          <w:tcPr>
            <w:tcW w:w="137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16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性别</w:t>
            </w:r>
          </w:p>
        </w:tc>
        <w:tc>
          <w:tcPr>
            <w:tcW w:w="86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86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年龄</w:t>
            </w:r>
          </w:p>
        </w:tc>
        <w:tc>
          <w:tcPr>
            <w:tcW w:w="19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0" w:type="auto"/>
            <w:vMerge/>
            <w:tcBorders>
              <w:top w:val="single" w:sz="12" w:space="0" w:color="auto"/>
              <w:left w:val="nil"/>
              <w:bottom w:val="single" w:sz="8" w:space="0" w:color="auto"/>
              <w:right w:val="single" w:sz="12" w:space="0" w:color="auto"/>
            </w:tcBorders>
            <w:shd w:val="clear" w:color="auto" w:fill="auto"/>
            <w:vAlign w:val="center"/>
            <w:hideMark/>
          </w:tcPr>
          <w:p w:rsidR="00C53307" w:rsidRPr="00244FF8" w:rsidRDefault="00C53307" w:rsidP="00FC4B4E">
            <w:pPr>
              <w:widowControl/>
              <w:jc w:val="left"/>
              <w:rPr>
                <w:rFonts w:ascii="宋体" w:hAnsi="宋体" w:cs="宋体"/>
                <w:kern w:val="0"/>
              </w:rPr>
            </w:pPr>
          </w:p>
        </w:tc>
      </w:tr>
      <w:tr w:rsidR="00C53307" w:rsidRPr="00244FF8" w:rsidTr="00FC4B4E">
        <w:trPr>
          <w:trHeight w:val="543"/>
        </w:trPr>
        <w:tc>
          <w:tcPr>
            <w:tcW w:w="116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民族</w:t>
            </w:r>
          </w:p>
        </w:tc>
        <w:tc>
          <w:tcPr>
            <w:tcW w:w="137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16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身份证号</w:t>
            </w:r>
          </w:p>
        </w:tc>
        <w:tc>
          <w:tcPr>
            <w:tcW w:w="3703"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0" w:type="auto"/>
            <w:vMerge/>
            <w:tcBorders>
              <w:top w:val="single" w:sz="12" w:space="0" w:color="auto"/>
              <w:left w:val="nil"/>
              <w:bottom w:val="single" w:sz="8" w:space="0" w:color="auto"/>
              <w:right w:val="single" w:sz="12" w:space="0" w:color="auto"/>
            </w:tcBorders>
            <w:shd w:val="clear" w:color="auto" w:fill="auto"/>
            <w:vAlign w:val="center"/>
            <w:hideMark/>
          </w:tcPr>
          <w:p w:rsidR="00C53307" w:rsidRPr="00244FF8" w:rsidRDefault="00C53307" w:rsidP="00FC4B4E">
            <w:pPr>
              <w:widowControl/>
              <w:jc w:val="left"/>
              <w:rPr>
                <w:rFonts w:ascii="宋体" w:hAnsi="宋体" w:cs="宋体"/>
                <w:kern w:val="0"/>
              </w:rPr>
            </w:pPr>
          </w:p>
        </w:tc>
      </w:tr>
      <w:tr w:rsidR="00C53307" w:rsidRPr="00244FF8" w:rsidTr="00FC4B4E">
        <w:trPr>
          <w:trHeight w:val="624"/>
        </w:trPr>
        <w:tc>
          <w:tcPr>
            <w:tcW w:w="116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所在系</w:t>
            </w:r>
          </w:p>
        </w:tc>
        <w:tc>
          <w:tcPr>
            <w:tcW w:w="6760"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0" w:type="auto"/>
            <w:vMerge/>
            <w:tcBorders>
              <w:top w:val="single" w:sz="12" w:space="0" w:color="auto"/>
              <w:left w:val="nil"/>
              <w:bottom w:val="single" w:sz="8" w:space="0" w:color="auto"/>
              <w:right w:val="single" w:sz="12" w:space="0" w:color="auto"/>
            </w:tcBorders>
            <w:shd w:val="clear" w:color="auto" w:fill="auto"/>
            <w:vAlign w:val="center"/>
            <w:hideMark/>
          </w:tcPr>
          <w:p w:rsidR="00C53307" w:rsidRPr="00244FF8" w:rsidRDefault="00C53307" w:rsidP="00FC4B4E">
            <w:pPr>
              <w:widowControl/>
              <w:jc w:val="left"/>
              <w:rPr>
                <w:rFonts w:ascii="宋体" w:hAnsi="宋体" w:cs="宋体"/>
                <w:kern w:val="0"/>
              </w:rPr>
            </w:pPr>
          </w:p>
        </w:tc>
      </w:tr>
      <w:tr w:rsidR="00C53307" w:rsidRPr="00244FF8" w:rsidTr="00FC4B4E">
        <w:trPr>
          <w:trHeight w:val="518"/>
        </w:trPr>
        <w:tc>
          <w:tcPr>
            <w:tcW w:w="116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学校地址</w:t>
            </w:r>
          </w:p>
        </w:tc>
        <w:tc>
          <w:tcPr>
            <w:tcW w:w="6760"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0" w:type="auto"/>
            <w:vMerge/>
            <w:tcBorders>
              <w:top w:val="single" w:sz="12" w:space="0" w:color="auto"/>
              <w:left w:val="nil"/>
              <w:bottom w:val="single" w:sz="8" w:space="0" w:color="auto"/>
              <w:right w:val="single" w:sz="12" w:space="0" w:color="auto"/>
            </w:tcBorders>
            <w:shd w:val="clear" w:color="auto" w:fill="auto"/>
            <w:vAlign w:val="center"/>
            <w:hideMark/>
          </w:tcPr>
          <w:p w:rsidR="00C53307" w:rsidRPr="00244FF8" w:rsidRDefault="00C53307" w:rsidP="00FC4B4E">
            <w:pPr>
              <w:widowControl/>
              <w:jc w:val="left"/>
              <w:rPr>
                <w:rFonts w:ascii="宋体" w:hAnsi="宋体" w:cs="宋体"/>
                <w:kern w:val="0"/>
              </w:rPr>
            </w:pPr>
          </w:p>
        </w:tc>
      </w:tr>
      <w:tr w:rsidR="00C53307" w:rsidRPr="00244FF8" w:rsidTr="00FC4B4E">
        <w:trPr>
          <w:trHeight w:val="624"/>
        </w:trPr>
        <w:tc>
          <w:tcPr>
            <w:tcW w:w="116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邮编</w:t>
            </w:r>
          </w:p>
        </w:tc>
        <w:tc>
          <w:tcPr>
            <w:tcW w:w="11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2111"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联系电话</w:t>
            </w:r>
          </w:p>
        </w:tc>
        <w:tc>
          <w:tcPr>
            <w:tcW w:w="1727"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1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传真</w:t>
            </w:r>
          </w:p>
        </w:tc>
        <w:tc>
          <w:tcPr>
            <w:tcW w:w="1240"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r>
      <w:tr w:rsidR="00C53307" w:rsidRPr="00244FF8" w:rsidTr="00FC4B4E">
        <w:trPr>
          <w:trHeight w:val="624"/>
        </w:trPr>
        <w:tc>
          <w:tcPr>
            <w:tcW w:w="116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所学专业</w:t>
            </w:r>
          </w:p>
        </w:tc>
        <w:tc>
          <w:tcPr>
            <w:tcW w:w="5000" w:type="dxa"/>
            <w:gridSpan w:val="10"/>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1760" w:type="dxa"/>
            <w:tcBorders>
              <w:top w:val="nil"/>
              <w:left w:val="nil"/>
              <w:bottom w:val="single" w:sz="8" w:space="0" w:color="auto"/>
              <w:right w:val="single" w:sz="8" w:space="0" w:color="auto"/>
            </w:tcBorders>
            <w:shd w:val="clear" w:color="auto" w:fill="auto"/>
            <w:tcMar>
              <w:top w:w="0" w:type="dxa"/>
              <w:left w:w="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年级</w:t>
            </w:r>
          </w:p>
        </w:tc>
        <w:tc>
          <w:tcPr>
            <w:tcW w:w="1240"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r>
      <w:tr w:rsidR="00C53307" w:rsidRPr="00244FF8" w:rsidTr="00FC4B4E">
        <w:trPr>
          <w:trHeight w:val="624"/>
        </w:trPr>
        <w:tc>
          <w:tcPr>
            <w:tcW w:w="116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指导教师1</w:t>
            </w:r>
          </w:p>
        </w:tc>
        <w:tc>
          <w:tcPr>
            <w:tcW w:w="11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2111"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指导教师2</w:t>
            </w:r>
          </w:p>
        </w:tc>
        <w:tc>
          <w:tcPr>
            <w:tcW w:w="1727"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c>
          <w:tcPr>
            <w:tcW w:w="1760" w:type="dxa"/>
            <w:tcBorders>
              <w:top w:val="nil"/>
              <w:left w:val="nil"/>
              <w:bottom w:val="single" w:sz="8" w:space="0" w:color="auto"/>
              <w:right w:val="single" w:sz="8" w:space="0" w:color="auto"/>
            </w:tcBorders>
            <w:shd w:val="clear" w:color="auto" w:fill="auto"/>
            <w:tcMar>
              <w:top w:w="0" w:type="dxa"/>
              <w:left w:w="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参赛队</w:t>
            </w:r>
          </w:p>
        </w:tc>
        <w:tc>
          <w:tcPr>
            <w:tcW w:w="1240"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r>
      <w:tr w:rsidR="00C53307" w:rsidRPr="00244FF8" w:rsidTr="00FC4B4E">
        <w:trPr>
          <w:trHeight w:val="624"/>
        </w:trPr>
        <w:tc>
          <w:tcPr>
            <w:tcW w:w="1652" w:type="dxa"/>
            <w:gridSpan w:val="2"/>
            <w:tcBorders>
              <w:top w:val="nil"/>
              <w:left w:val="single" w:sz="8" w:space="0" w:color="auto"/>
              <w:bottom w:val="single" w:sz="8" w:space="0" w:color="auto"/>
              <w:right w:val="single" w:sz="8" w:space="0" w:color="auto"/>
            </w:tcBorders>
            <w:shd w:val="clear" w:color="auto" w:fill="auto"/>
            <w:tcMar>
              <w:top w:w="0" w:type="dxa"/>
              <w:left w:w="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现有职业资格(上岗证)种类、等级</w:t>
            </w:r>
          </w:p>
        </w:tc>
        <w:tc>
          <w:tcPr>
            <w:tcW w:w="7510" w:type="dxa"/>
            <w:gridSpan w:val="11"/>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 </w:t>
            </w:r>
          </w:p>
        </w:tc>
      </w:tr>
      <w:tr w:rsidR="00C53307" w:rsidRPr="00244FF8" w:rsidTr="00FC4B4E">
        <w:trPr>
          <w:trHeight w:val="624"/>
        </w:trPr>
        <w:tc>
          <w:tcPr>
            <w:tcW w:w="116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t>学校意见</w:t>
            </w:r>
            <w:r w:rsidRPr="00244FF8">
              <w:rPr>
                <w:rFonts w:ascii="方正仿宋_GBK" w:eastAsia="方正仿宋_GBK" w:hAnsi="宋体" w:cs="宋体" w:hint="eastAsia"/>
                <w:kern w:val="0"/>
                <w:sz w:val="22"/>
                <w:szCs w:val="28"/>
              </w:rPr>
              <w:lastRenderedPageBreak/>
              <w:t>（选手所在学校填写）</w:t>
            </w:r>
          </w:p>
        </w:tc>
        <w:tc>
          <w:tcPr>
            <w:tcW w:w="8000" w:type="dxa"/>
            <w:gridSpan w:val="12"/>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C53307" w:rsidRPr="00244FF8" w:rsidRDefault="00C53307" w:rsidP="00FC4B4E">
            <w:pPr>
              <w:widowControl/>
              <w:spacing w:line="340" w:lineRule="atLeast"/>
              <w:jc w:val="left"/>
              <w:rPr>
                <w:rFonts w:ascii="宋体" w:hAnsi="宋体" w:cs="宋体"/>
                <w:kern w:val="0"/>
              </w:rPr>
            </w:pPr>
            <w:r w:rsidRPr="00244FF8">
              <w:rPr>
                <w:rFonts w:ascii="方正仿宋_GBK" w:eastAsia="方正仿宋_GBK" w:hAnsi="宋体" w:cs="宋体" w:hint="eastAsia"/>
                <w:kern w:val="0"/>
                <w:sz w:val="22"/>
                <w:szCs w:val="28"/>
              </w:rPr>
              <w:lastRenderedPageBreak/>
              <w:t>{学校意见}</w:t>
            </w:r>
          </w:p>
          <w:p w:rsidR="00C53307" w:rsidRPr="00244FF8" w:rsidRDefault="00C53307" w:rsidP="00FC4B4E">
            <w:pPr>
              <w:widowControl/>
              <w:spacing w:line="340" w:lineRule="atLeast"/>
              <w:jc w:val="left"/>
              <w:rPr>
                <w:rFonts w:ascii="宋体" w:hAnsi="宋体" w:cs="宋体"/>
                <w:kern w:val="0"/>
              </w:rPr>
            </w:pPr>
            <w:r w:rsidRPr="00244FF8">
              <w:rPr>
                <w:rFonts w:ascii="方正仿宋_GBK" w:eastAsia="方正仿宋_GBK" w:hAnsi="宋体" w:cs="宋体" w:hint="eastAsia"/>
                <w:kern w:val="0"/>
                <w:sz w:val="22"/>
                <w:szCs w:val="28"/>
              </w:rPr>
              <w:t> </w:t>
            </w:r>
          </w:p>
          <w:p w:rsidR="00C53307" w:rsidRPr="00244FF8" w:rsidRDefault="00C53307" w:rsidP="00FC4B4E">
            <w:pPr>
              <w:widowControl/>
              <w:spacing w:line="340" w:lineRule="atLeast"/>
              <w:jc w:val="left"/>
              <w:rPr>
                <w:rFonts w:ascii="宋体" w:hAnsi="宋体" w:cs="宋体"/>
                <w:kern w:val="0"/>
              </w:rPr>
            </w:pPr>
            <w:r w:rsidRPr="00244FF8">
              <w:rPr>
                <w:rFonts w:ascii="方正仿宋_GBK" w:eastAsia="方正仿宋_GBK" w:hAnsi="宋体" w:cs="宋体" w:hint="eastAsia"/>
                <w:kern w:val="0"/>
                <w:sz w:val="22"/>
                <w:szCs w:val="28"/>
              </w:rPr>
              <w:t> </w:t>
            </w:r>
          </w:p>
          <w:p w:rsidR="00C53307" w:rsidRPr="00244FF8" w:rsidRDefault="00C53307" w:rsidP="00FC4B4E">
            <w:pPr>
              <w:widowControl/>
              <w:spacing w:line="340" w:lineRule="atLeast"/>
              <w:ind w:firstLine="4750"/>
              <w:jc w:val="left"/>
              <w:rPr>
                <w:rFonts w:ascii="宋体" w:hAnsi="宋体" w:cs="宋体"/>
                <w:kern w:val="0"/>
              </w:rPr>
            </w:pPr>
            <w:r w:rsidRPr="00244FF8">
              <w:rPr>
                <w:rFonts w:ascii="方正仿宋_GBK" w:eastAsia="方正仿宋_GBK" w:hAnsi="宋体" w:cs="宋体" w:hint="eastAsia"/>
                <w:kern w:val="0"/>
                <w:sz w:val="22"/>
                <w:szCs w:val="28"/>
              </w:rPr>
              <w:t>盖章</w:t>
            </w:r>
          </w:p>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lastRenderedPageBreak/>
              <w:t>                                    </w:t>
            </w:r>
            <w:r w:rsidRPr="00244FF8">
              <w:rPr>
                <w:rFonts w:ascii="方正仿宋_GBK" w:eastAsia="方正仿宋_GBK" w:hAnsi="宋体" w:cs="宋体" w:hint="eastAsia"/>
                <w:kern w:val="0"/>
                <w:sz w:val="22"/>
                <w:szCs w:val="28"/>
              </w:rPr>
              <w:t>年</w:t>
            </w:r>
            <w:r w:rsidRPr="00244FF8">
              <w:rPr>
                <w:rFonts w:ascii="方正仿宋_GBK" w:eastAsia="方正仿宋_GBK" w:hAnsi="宋体" w:cs="宋体" w:hint="eastAsia"/>
                <w:kern w:val="0"/>
                <w:sz w:val="22"/>
                <w:szCs w:val="28"/>
              </w:rPr>
              <w:t>    </w:t>
            </w:r>
            <w:r w:rsidRPr="00244FF8">
              <w:rPr>
                <w:rFonts w:ascii="方正仿宋_GBK" w:eastAsia="方正仿宋_GBK" w:hAnsi="宋体" w:cs="宋体" w:hint="eastAsia"/>
                <w:kern w:val="0"/>
                <w:sz w:val="22"/>
                <w:szCs w:val="28"/>
              </w:rPr>
              <w:t>月</w:t>
            </w:r>
            <w:r w:rsidRPr="00244FF8">
              <w:rPr>
                <w:rFonts w:ascii="方正仿宋_GBK" w:eastAsia="方正仿宋_GBK" w:hAnsi="宋体" w:cs="宋体" w:hint="eastAsia"/>
                <w:kern w:val="0"/>
                <w:sz w:val="22"/>
                <w:szCs w:val="28"/>
              </w:rPr>
              <w:t>   </w:t>
            </w:r>
            <w:r w:rsidRPr="00244FF8">
              <w:rPr>
                <w:rFonts w:ascii="方正仿宋_GBK" w:eastAsia="方正仿宋_GBK" w:hAnsi="宋体" w:cs="宋体" w:hint="eastAsia"/>
                <w:kern w:val="0"/>
                <w:sz w:val="22"/>
                <w:szCs w:val="28"/>
              </w:rPr>
              <w:t>日</w:t>
            </w:r>
          </w:p>
        </w:tc>
      </w:tr>
      <w:tr w:rsidR="00C53307" w:rsidRPr="00244FF8" w:rsidTr="00FC4B4E">
        <w:trPr>
          <w:trHeight w:val="624"/>
        </w:trPr>
        <w:tc>
          <w:tcPr>
            <w:tcW w:w="1162" w:type="dxa"/>
            <w:tcBorders>
              <w:top w:val="nil"/>
              <w:left w:val="single" w:sz="12" w:space="0" w:color="auto"/>
              <w:bottom w:val="single" w:sz="8" w:space="0" w:color="auto"/>
              <w:right w:val="single" w:sz="8" w:space="0" w:color="auto"/>
            </w:tcBorders>
            <w:shd w:val="clear" w:color="auto" w:fill="auto"/>
            <w:tcMar>
              <w:top w:w="0" w:type="dxa"/>
              <w:left w:w="8" w:type="dxa"/>
              <w:bottom w:w="0" w:type="dxa"/>
              <w:right w:w="108" w:type="dxa"/>
            </w:tcMar>
            <w:vAlign w:val="center"/>
            <w:hideMark/>
          </w:tcPr>
          <w:p w:rsidR="00C53307" w:rsidRPr="00244FF8" w:rsidRDefault="00C53307" w:rsidP="00FC4B4E">
            <w:pPr>
              <w:widowControl/>
              <w:spacing w:line="340" w:lineRule="atLeast"/>
              <w:jc w:val="center"/>
              <w:rPr>
                <w:rFonts w:ascii="宋体" w:hAnsi="宋体" w:cs="宋体"/>
                <w:kern w:val="0"/>
              </w:rPr>
            </w:pPr>
            <w:r w:rsidRPr="00244FF8">
              <w:rPr>
                <w:rFonts w:ascii="方正仿宋_GBK" w:eastAsia="方正仿宋_GBK" w:hAnsi="宋体" w:cs="宋体" w:hint="eastAsia"/>
                <w:kern w:val="0"/>
                <w:sz w:val="22"/>
                <w:szCs w:val="28"/>
              </w:rPr>
              <w:lastRenderedPageBreak/>
              <w:t>省大赛组委会审核意见</w:t>
            </w:r>
          </w:p>
        </w:tc>
        <w:tc>
          <w:tcPr>
            <w:tcW w:w="8000" w:type="dxa"/>
            <w:gridSpan w:val="12"/>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C53307" w:rsidRPr="00244FF8" w:rsidRDefault="00C53307" w:rsidP="00FC4B4E">
            <w:pPr>
              <w:widowControl/>
              <w:spacing w:line="340" w:lineRule="atLeast"/>
              <w:jc w:val="left"/>
              <w:rPr>
                <w:rFonts w:ascii="宋体" w:hAnsi="宋体" w:cs="宋体"/>
                <w:kern w:val="0"/>
              </w:rPr>
            </w:pPr>
            <w:r w:rsidRPr="00244FF8">
              <w:rPr>
                <w:rFonts w:ascii="方正仿宋_GBK" w:eastAsia="方正仿宋_GBK" w:hAnsi="宋体" w:cs="宋体" w:hint="eastAsia"/>
                <w:kern w:val="0"/>
                <w:sz w:val="22"/>
                <w:szCs w:val="28"/>
              </w:rPr>
              <w:t>{组委会审核意见}</w:t>
            </w:r>
          </w:p>
          <w:p w:rsidR="00C53307" w:rsidRPr="00244FF8" w:rsidRDefault="00C53307" w:rsidP="00FC4B4E">
            <w:pPr>
              <w:widowControl/>
              <w:spacing w:line="340" w:lineRule="atLeast"/>
              <w:ind w:firstLine="4800"/>
              <w:jc w:val="left"/>
              <w:rPr>
                <w:rFonts w:ascii="宋体" w:hAnsi="宋体" w:cs="宋体"/>
                <w:kern w:val="0"/>
              </w:rPr>
            </w:pPr>
            <w:r w:rsidRPr="00244FF8">
              <w:rPr>
                <w:rFonts w:ascii="方正仿宋_GBK" w:eastAsia="方正仿宋_GBK" w:hAnsi="宋体" w:cs="宋体" w:hint="eastAsia"/>
                <w:kern w:val="0"/>
                <w:sz w:val="22"/>
                <w:szCs w:val="28"/>
              </w:rPr>
              <w:t> </w:t>
            </w:r>
          </w:p>
          <w:p w:rsidR="00C53307" w:rsidRPr="00244FF8" w:rsidRDefault="00C53307" w:rsidP="00FC4B4E">
            <w:pPr>
              <w:widowControl/>
              <w:spacing w:line="340" w:lineRule="atLeast"/>
              <w:ind w:firstLine="5280"/>
              <w:jc w:val="left"/>
              <w:rPr>
                <w:rFonts w:ascii="宋体" w:hAnsi="宋体" w:cs="宋体"/>
                <w:kern w:val="0"/>
              </w:rPr>
            </w:pPr>
            <w:r w:rsidRPr="00244FF8">
              <w:rPr>
                <w:rFonts w:ascii="方正仿宋_GBK" w:eastAsia="方正仿宋_GBK" w:hAnsi="宋体" w:cs="宋体" w:hint="eastAsia"/>
                <w:kern w:val="0"/>
                <w:sz w:val="22"/>
                <w:szCs w:val="28"/>
              </w:rPr>
              <w:t>盖章</w:t>
            </w:r>
          </w:p>
          <w:p w:rsidR="00C53307" w:rsidRPr="00244FF8" w:rsidRDefault="00C53307" w:rsidP="00FC4B4E">
            <w:pPr>
              <w:widowControl/>
              <w:spacing w:line="340" w:lineRule="atLeast"/>
              <w:ind w:firstLine="5280"/>
              <w:jc w:val="left"/>
              <w:rPr>
                <w:rFonts w:ascii="宋体" w:hAnsi="宋体" w:cs="宋体"/>
                <w:kern w:val="0"/>
              </w:rPr>
            </w:pPr>
            <w:r w:rsidRPr="00244FF8">
              <w:rPr>
                <w:rFonts w:ascii="方正仿宋_GBK" w:eastAsia="方正仿宋_GBK" w:hAnsi="宋体" w:cs="宋体" w:hint="eastAsia"/>
                <w:kern w:val="0"/>
                <w:sz w:val="22"/>
                <w:szCs w:val="28"/>
              </w:rPr>
              <w:t>年</w:t>
            </w:r>
            <w:r w:rsidRPr="00244FF8">
              <w:rPr>
                <w:rFonts w:ascii="方正仿宋_GBK" w:eastAsia="方正仿宋_GBK" w:hAnsi="宋体" w:cs="宋体" w:hint="eastAsia"/>
                <w:kern w:val="0"/>
                <w:sz w:val="22"/>
                <w:szCs w:val="28"/>
              </w:rPr>
              <w:t>    </w:t>
            </w:r>
            <w:r w:rsidRPr="00244FF8">
              <w:rPr>
                <w:rFonts w:ascii="方正仿宋_GBK" w:eastAsia="方正仿宋_GBK" w:hAnsi="宋体" w:cs="宋体" w:hint="eastAsia"/>
                <w:kern w:val="0"/>
                <w:sz w:val="22"/>
                <w:szCs w:val="28"/>
              </w:rPr>
              <w:t>月</w:t>
            </w:r>
            <w:r w:rsidRPr="00244FF8">
              <w:rPr>
                <w:rFonts w:ascii="方正仿宋_GBK" w:eastAsia="方正仿宋_GBK" w:hAnsi="宋体" w:cs="宋体" w:hint="eastAsia"/>
                <w:kern w:val="0"/>
                <w:sz w:val="22"/>
                <w:szCs w:val="28"/>
              </w:rPr>
              <w:t>   </w:t>
            </w:r>
            <w:r w:rsidRPr="00244FF8">
              <w:rPr>
                <w:rFonts w:ascii="方正仿宋_GBK" w:eastAsia="方正仿宋_GBK" w:hAnsi="宋体" w:cs="宋体" w:hint="eastAsia"/>
                <w:kern w:val="0"/>
                <w:sz w:val="22"/>
                <w:szCs w:val="28"/>
              </w:rPr>
              <w:t>日</w:t>
            </w:r>
          </w:p>
        </w:tc>
      </w:tr>
      <w:tr w:rsidR="00C53307" w:rsidRPr="00244FF8" w:rsidTr="00FC4B4E">
        <w:trPr>
          <w:trHeight w:val="624"/>
        </w:trPr>
        <w:tc>
          <w:tcPr>
            <w:tcW w:w="1162"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left"/>
              <w:rPr>
                <w:rFonts w:ascii="宋体" w:hAnsi="宋体" w:cs="宋体"/>
                <w:kern w:val="0"/>
              </w:rPr>
            </w:pPr>
            <w:r w:rsidRPr="00244FF8">
              <w:rPr>
                <w:rFonts w:ascii="方正仿宋_GBK" w:eastAsia="方正仿宋_GBK" w:hAnsi="宋体" w:cs="宋体" w:hint="eastAsia"/>
                <w:kern w:val="0"/>
                <w:sz w:val="22"/>
                <w:szCs w:val="28"/>
              </w:rPr>
              <w:t>备注</w:t>
            </w:r>
          </w:p>
        </w:tc>
        <w:tc>
          <w:tcPr>
            <w:tcW w:w="8000" w:type="dxa"/>
            <w:gridSpan w:val="12"/>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C53307" w:rsidRPr="00244FF8" w:rsidRDefault="00C53307" w:rsidP="00FC4B4E">
            <w:pPr>
              <w:widowControl/>
              <w:spacing w:line="340" w:lineRule="atLeast"/>
              <w:jc w:val="left"/>
              <w:rPr>
                <w:rFonts w:ascii="宋体" w:hAnsi="宋体" w:cs="宋体"/>
                <w:kern w:val="0"/>
              </w:rPr>
            </w:pPr>
            <w:r w:rsidRPr="00244FF8">
              <w:rPr>
                <w:rFonts w:ascii="方正仿宋_GBK" w:eastAsia="方正仿宋_GBK" w:hAnsi="宋体" w:cs="宋体" w:hint="eastAsia"/>
                <w:kern w:val="0"/>
                <w:sz w:val="22"/>
                <w:szCs w:val="28"/>
              </w:rPr>
              <w:t> </w:t>
            </w:r>
          </w:p>
        </w:tc>
      </w:tr>
      <w:tr w:rsidR="00C53307" w:rsidRPr="00244FF8" w:rsidTr="00FC4B4E">
        <w:tc>
          <w:tcPr>
            <w:tcW w:w="1162"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490"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672"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216"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1055"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624"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216"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647"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216"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648"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216"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1760"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c>
          <w:tcPr>
            <w:tcW w:w="1240" w:type="dxa"/>
            <w:tcBorders>
              <w:top w:val="nil"/>
              <w:left w:val="nil"/>
              <w:bottom w:val="nil"/>
              <w:right w:val="nil"/>
            </w:tcBorders>
            <w:shd w:val="clear" w:color="auto" w:fill="auto"/>
            <w:vAlign w:val="center"/>
            <w:hideMark/>
          </w:tcPr>
          <w:p w:rsidR="00C53307" w:rsidRPr="00244FF8" w:rsidRDefault="00C53307" w:rsidP="00FC4B4E">
            <w:pPr>
              <w:widowControl/>
              <w:spacing w:line="242" w:lineRule="atLeast"/>
              <w:jc w:val="left"/>
              <w:rPr>
                <w:rFonts w:ascii="宋体" w:hAnsi="宋体" w:cs="宋体"/>
                <w:kern w:val="0"/>
              </w:rPr>
            </w:pPr>
            <w:r w:rsidRPr="00244FF8">
              <w:rPr>
                <w:rFonts w:ascii="方正仿宋_GBK" w:eastAsia="方正仿宋_GBK" w:hAnsi="宋体" w:cs="宋体" w:hint="eastAsia"/>
                <w:kern w:val="0"/>
                <w:sz w:val="28"/>
                <w:szCs w:val="36"/>
              </w:rPr>
              <w:t> </w:t>
            </w:r>
          </w:p>
        </w:tc>
      </w:tr>
    </w:tbl>
    <w:p w:rsidR="00C53307" w:rsidRPr="00244FF8" w:rsidRDefault="00C53307" w:rsidP="00C53307">
      <w:pPr>
        <w:widowControl/>
        <w:shd w:val="clear" w:color="auto" w:fill="FFFFFF"/>
        <w:jc w:val="left"/>
        <w:rPr>
          <w:rFonts w:ascii="宋体" w:hAnsi="宋体" w:cs="宋体"/>
          <w:color w:val="333333"/>
          <w:kern w:val="0"/>
        </w:rPr>
      </w:pPr>
      <w:r w:rsidRPr="00244FF8">
        <w:rPr>
          <w:rFonts w:ascii="方正仿宋_GBK" w:eastAsia="方正仿宋_GBK" w:hAnsi="宋体" w:cs="宋体" w:hint="eastAsia"/>
          <w:color w:val="333333"/>
          <w:kern w:val="0"/>
          <w:sz w:val="28"/>
          <w:szCs w:val="36"/>
        </w:rPr>
        <w:t> </w:t>
      </w:r>
    </w:p>
    <w:p w:rsidR="00C53307" w:rsidRPr="00244FF8" w:rsidRDefault="00C53307" w:rsidP="00C53307">
      <w:pPr>
        <w:widowControl/>
        <w:spacing w:before="300" w:after="300"/>
        <w:jc w:val="left"/>
        <w:rPr>
          <w:rFonts w:ascii="宋体" w:hAnsi="宋体" w:cs="宋体"/>
          <w:kern w:val="0"/>
        </w:rPr>
      </w:pPr>
      <w:r>
        <w:rPr>
          <w:rFonts w:ascii="宋体" w:hAnsi="宋体" w:cs="宋体"/>
          <w:kern w:val="0"/>
        </w:rPr>
        <w:pict>
          <v:rect id="_x0000_i1025" style="width:0;height:1.5pt" o:hralign="center" o:hrstd="t" o:hrnoshade="t" o:hr="t" fillcolor="#333" stroked="f"/>
        </w:pict>
      </w:r>
    </w:p>
    <w:p w:rsidR="00C53307" w:rsidRPr="00244FF8" w:rsidRDefault="00C53307" w:rsidP="00C53307">
      <w:pPr>
        <w:widowControl/>
        <w:jc w:val="left"/>
        <w:rPr>
          <w:rFonts w:ascii="宋体" w:hAnsi="宋体" w:cs="宋体"/>
          <w:kern w:val="0"/>
        </w:rPr>
      </w:pPr>
      <w:r w:rsidRPr="00244FF8">
        <w:rPr>
          <w:rFonts w:ascii="宋体" w:hAnsi="宋体" w:cs="宋体"/>
          <w:kern w:val="0"/>
        </w:rPr>
        <w:t>主办：安徽省教育厅高教处</w:t>
      </w:r>
      <w:r w:rsidRPr="00244FF8">
        <w:rPr>
          <w:rFonts w:ascii="宋体" w:hAnsi="宋体" w:cs="宋体"/>
          <w:kern w:val="0"/>
        </w:rPr>
        <w:br/>
        <w:t>地址：安徽省合肥市金寨路321号 邮政编码：230061 电话：（0551）2831868 </w:t>
      </w:r>
    </w:p>
    <w:p w:rsidR="00C53307" w:rsidRPr="00244FF8" w:rsidRDefault="00C53307" w:rsidP="00C53307">
      <w:pPr>
        <w:rPr>
          <w:sz w:val="18"/>
        </w:rPr>
      </w:pPr>
    </w:p>
    <w:p w:rsidR="00BA7149" w:rsidRPr="00C53307" w:rsidRDefault="00BA7149"/>
    <w:sectPr w:rsidR="00BA7149" w:rsidRPr="00C53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altName w:val="Arial"/>
    <w:panose1 w:val="020B0604020202020204"/>
    <w:charset w:val="00"/>
    <w:family w:val="swiss"/>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07"/>
    <w:rsid w:val="00BA7149"/>
    <w:rsid w:val="00C5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109CD-83EA-409F-B3B3-4A411847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33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guohui shu</dc:creator>
  <cp:keywords/>
  <dc:description/>
  <cp:lastModifiedBy>guohui shu</cp:lastModifiedBy>
  <cp:revision>1</cp:revision>
  <dcterms:created xsi:type="dcterms:W3CDTF">2018-03-06T06:52:00Z</dcterms:created>
  <dcterms:modified xsi:type="dcterms:W3CDTF">2018-03-06T06:53:00Z</dcterms:modified>
</cp:coreProperties>
</file>