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firstLine="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附件1</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_GBK" w:hAnsi="华文中宋"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教育评价改革典型案例汇总表</w:t>
      </w:r>
    </w:p>
    <w:p>
      <w:pPr>
        <w:pStyle w:val="3"/>
        <w:keepNext w:val="0"/>
        <w:keepLines w:val="0"/>
        <w:widowControl/>
        <w:suppressLineNumbers w:val="0"/>
        <w:spacing w:before="0" w:beforeAutospacing="1" w:after="0" w:afterAutospacing="1" w:line="440" w:lineRule="exact"/>
        <w:ind w:left="0" w:right="0"/>
        <w:jc w:val="both"/>
        <w:rPr>
          <w:rFonts w:hint="default" w:ascii="方正楷体_GBK" w:hAnsi="方正楷体_GBK" w:eastAsia="方正楷体_GBK" w:cs="方正楷体_GBK"/>
          <w:color w:val="2E2E2E"/>
          <w:kern w:val="0"/>
          <w:sz w:val="24"/>
          <w:szCs w:val="24"/>
        </w:rPr>
      </w:pPr>
      <w:r>
        <w:rPr>
          <w:rFonts w:hint="default" w:ascii="方正楷体_GBK" w:hAnsi="方正楷体_GBK" w:eastAsia="方正楷体_GBK" w:cs="方正楷体_GBK"/>
          <w:kern w:val="0"/>
          <w:sz w:val="24"/>
          <w:szCs w:val="24"/>
          <w:lang w:val="en-US" w:eastAsia="zh-CN" w:bidi="ar"/>
        </w:rPr>
        <w:t>报送单位（盖章）：                 联系人及联系电话：</w:t>
      </w:r>
    </w:p>
    <w:tbl>
      <w:tblPr>
        <w:tblStyle w:val="4"/>
        <w:tblW w:w="12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79"/>
        <w:gridCol w:w="2295"/>
        <w:gridCol w:w="2116"/>
        <w:gridCol w:w="2659"/>
        <w:gridCol w:w="259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案例名称</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实施单位</w:t>
            </w:r>
          </w:p>
        </w:tc>
        <w:tc>
          <w:tcPr>
            <w:tcW w:w="2659" w:type="dxa"/>
            <w:tcBorders>
              <w:top w:val="single" w:color="000000" w:sz="4" w:space="0"/>
              <w:left w:val="single" w:color="000000" w:sz="4" w:space="0"/>
              <w:bottom w:val="single" w:color="000000" w:sz="4" w:space="0"/>
              <w:right w:val="single" w:color="auto"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负责人及职务</w:t>
            </w:r>
          </w:p>
        </w:tc>
        <w:tc>
          <w:tcPr>
            <w:tcW w:w="2590" w:type="dxa"/>
            <w:tcBorders>
              <w:top w:val="single" w:color="000000" w:sz="4" w:space="0"/>
              <w:left w:val="nil"/>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联系电话</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联系邮箱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659" w:type="dxa"/>
            <w:tcBorders>
              <w:top w:val="single" w:color="000000" w:sz="4" w:space="0"/>
              <w:left w:val="single" w:color="000000" w:sz="4" w:space="0"/>
              <w:bottom w:val="single" w:color="000000" w:sz="4" w:space="0"/>
              <w:right w:val="single" w:color="auto"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590" w:type="dxa"/>
            <w:tcBorders>
              <w:top w:val="single" w:color="000000" w:sz="4" w:space="0"/>
              <w:left w:val="nil"/>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659" w:type="dxa"/>
            <w:tcBorders>
              <w:top w:val="single" w:color="000000" w:sz="4" w:space="0"/>
              <w:left w:val="single" w:color="000000" w:sz="4" w:space="0"/>
              <w:bottom w:val="single" w:color="000000" w:sz="4" w:space="0"/>
              <w:right w:val="single" w:color="auto"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590" w:type="dxa"/>
            <w:tcBorders>
              <w:top w:val="single" w:color="000000" w:sz="4" w:space="0"/>
              <w:left w:val="nil"/>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659" w:type="dxa"/>
            <w:tcBorders>
              <w:top w:val="single" w:color="000000" w:sz="4" w:space="0"/>
              <w:left w:val="single" w:color="000000" w:sz="4" w:space="0"/>
              <w:bottom w:val="single" w:color="000000" w:sz="4" w:space="0"/>
              <w:right w:val="single" w:color="auto"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590" w:type="dxa"/>
            <w:tcBorders>
              <w:top w:val="single" w:color="000000" w:sz="4" w:space="0"/>
              <w:left w:val="nil"/>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659" w:type="dxa"/>
            <w:tcBorders>
              <w:top w:val="single" w:color="000000" w:sz="4" w:space="0"/>
              <w:left w:val="single" w:color="000000" w:sz="4" w:space="0"/>
              <w:bottom w:val="single" w:color="000000" w:sz="4" w:space="0"/>
              <w:right w:val="single" w:color="auto"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590" w:type="dxa"/>
            <w:tcBorders>
              <w:top w:val="single" w:color="000000" w:sz="4" w:space="0"/>
              <w:left w:val="nil"/>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widowControl/>
              <w:suppressLineNumbers w:val="0"/>
              <w:spacing w:before="0" w:beforeAutospacing="1" w:after="0" w:afterAutospacing="1" w:line="440" w:lineRule="exact"/>
              <w:ind w:left="0" w:right="0"/>
              <w:jc w:val="both"/>
              <w:rPr>
                <w:rFonts w:hint="eastAsia" w:ascii="宋体" w:hAnsi="宋体" w:eastAsia="宋体" w:cs="Arial"/>
                <w:color w:val="2E2E2E"/>
                <w:kern w:val="0"/>
                <w:sz w:val="24"/>
                <w:szCs w:val="24"/>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rPr>
          <w:rFonts w:hint="eastAsia" w:ascii="黑体" w:hAnsi="宋体" w:eastAsia="黑体" w:cs="Times New Roman"/>
          <w:kern w:val="2"/>
          <w:sz w:val="32"/>
          <w:szCs w:val="32"/>
        </w:rPr>
        <w:sectPr>
          <w:pgSz w:w="16838" w:h="11906" w:orient="landscape"/>
          <w:pgMar w:top="1531" w:right="2041" w:bottom="1531" w:left="2041" w:header="851" w:footer="1588" w:gutter="0"/>
          <w:cols w:space="425" w:num="1"/>
          <w:docGrid w:type="lines" w:linePitch="579" w:charSpace="0"/>
        </w:sectPr>
      </w:pP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附件2</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_GBK" w:hAnsi="华文中宋"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教育评价改革典型案例推荐表</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733"/>
        <w:gridCol w:w="2505"/>
        <w:gridCol w:w="2504"/>
        <w:gridCol w:w="2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4"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案例名称</w:t>
            </w:r>
          </w:p>
        </w:tc>
        <w:tc>
          <w:tcPr>
            <w:tcW w:w="7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2"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实施单位</w:t>
            </w:r>
          </w:p>
        </w:tc>
        <w:tc>
          <w:tcPr>
            <w:tcW w:w="7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案例负责人</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姓名及职务</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Times New Roman"/>
                <w:kern w:val="2"/>
                <w:sz w:val="28"/>
                <w:szCs w:val="28"/>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办公电话及手机号</w:t>
            </w:r>
          </w:p>
          <w:p>
            <w:pPr>
              <w:pStyle w:val="6"/>
              <w:widowControl/>
              <w:spacing w:line="480" w:lineRule="exac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28"/>
                <w:szCs w:val="28"/>
              </w:rPr>
              <w:t>电子邮箱</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Times New Roman"/>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6"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20"/>
                <w:kern w:val="2"/>
                <w:sz w:val="28"/>
                <w:szCs w:val="28"/>
              </w:rPr>
            </w:pPr>
            <w:r>
              <w:rPr>
                <w:rFonts w:hint="eastAsia" w:ascii="仿宋_GB2312" w:hAnsi="Times New Roman" w:eastAsia="仿宋_GB2312" w:cs="仿宋_GB2312"/>
                <w:spacing w:val="-20"/>
                <w:kern w:val="2"/>
                <w:sz w:val="28"/>
                <w:szCs w:val="28"/>
                <w:lang w:val="en-US" w:eastAsia="zh-CN" w:bidi="ar"/>
              </w:rPr>
              <w:t>案例简介</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spacing w:val="-20"/>
                <w:kern w:val="2"/>
                <w:sz w:val="28"/>
                <w:szCs w:val="28"/>
                <w:lang w:val="en-US" w:eastAsia="zh-CN" w:bidi="ar"/>
              </w:rPr>
              <w:t>（主要亮点）</w:t>
            </w:r>
          </w:p>
        </w:tc>
        <w:tc>
          <w:tcPr>
            <w:tcW w:w="719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val="0"/>
                <w:kern w:val="2"/>
                <w:sz w:val="28"/>
                <w:szCs w:val="28"/>
                <w:lang w:val="en-US" w:eastAsia="zh-CN" w:bidi="ar"/>
              </w:rPr>
              <w:t>限</w:t>
            </w:r>
            <w:r>
              <w:rPr>
                <w:rFonts w:hint="eastAsia" w:ascii="仿宋_GB2312" w:hAnsi="Times New Roman" w:eastAsia="仿宋_GB2312" w:cs="Times New Roman"/>
                <w:bCs w:val="0"/>
                <w:kern w:val="2"/>
                <w:sz w:val="28"/>
                <w:szCs w:val="28"/>
                <w:lang w:val="en-US" w:eastAsia="zh-CN" w:bidi="ar"/>
              </w:rPr>
              <w:t>300字以内，</w:t>
            </w:r>
            <w:r>
              <w:rPr>
                <w:rFonts w:hint="eastAsia" w:ascii="仿宋_GB2312" w:hAnsi="Times New Roman" w:eastAsia="仿宋_GB2312" w:cs="仿宋_GB2312"/>
                <w:bCs w:val="0"/>
                <w:kern w:val="2"/>
                <w:sz w:val="28"/>
                <w:szCs w:val="28"/>
                <w:lang w:val="en-US" w:eastAsia="zh-CN" w:bidi="ar"/>
              </w:rPr>
              <w:t>案例另附页</w:t>
            </w:r>
            <w:r>
              <w:rPr>
                <w:rFonts w:hint="eastAsia" w:ascii="仿宋_GB2312" w:hAnsi="Times New Roman" w:eastAsia="仿宋_GB2312" w:cs="仿宋_GB2312"/>
                <w:kern w:val="2"/>
                <w:sz w:val="28"/>
                <w:szCs w:val="28"/>
                <w:lang w:val="en-US" w:eastAsia="zh-CN" w:bidi="ar"/>
              </w:rPr>
              <w:t>）</w:t>
            </w:r>
          </w:p>
          <w:p>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(示例：建构以</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五个评价内容、三个评价维度</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为主体的学生评价框架，确定</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至诚心（德）、灵活脑（智）、康健身（体）、明亮眼（美）和勤劳手（劳）</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五个方面评价内容，从学习兴趣、学习习惯和学业成果三个维度开展评价，并基于不同评价场景确定评价标准与方式，形成校本化学生述评实施方案。推行全员全程评价，引领全校教师面向全体学生涵盖校内所有评价场景进行多维度评价，真实全面反映学生成长轨迹。为每位学生每学期生成一份综合素质发展报告，报告内容除身高、视力、体重、体质测试等基础数据外，还包括课程学习、特长发展、荣誉收获等成长情况，并给出一到四星等第评价。)</w:t>
            </w:r>
          </w:p>
        </w:tc>
      </w:tr>
    </w:tbl>
    <w:p>
      <w:pPr>
        <w:keepNext w:val="0"/>
        <w:keepLines w:val="0"/>
        <w:widowControl w:val="0"/>
        <w:suppressLineNumbers w:val="0"/>
        <w:snapToGrid w:val="0"/>
        <w:spacing w:before="0" w:beforeAutospacing="0" w:after="0" w:afterAutospacing="0" w:line="580" w:lineRule="exact"/>
        <w:ind w:left="0" w:right="0"/>
        <w:jc w:val="left"/>
        <w:rPr>
          <w:rFonts w:hint="eastAsia" w:ascii="黑体" w:hAnsi="宋体" w:eastAsia="黑体" w:cs="Times New Roman"/>
          <w:kern w:val="2"/>
          <w:sz w:val="32"/>
          <w:szCs w:val="32"/>
        </w:rPr>
      </w:pPr>
      <w:r>
        <w:rPr>
          <w:rFonts w:hint="default" w:ascii="Times New Roman" w:hAnsi="Times New Roman" w:eastAsia="方正仿宋_GBK" w:cs="Times New Roman"/>
          <w:kern w:val="2"/>
          <w:sz w:val="32"/>
          <w:szCs w:val="32"/>
          <w:lang w:val="en-US" w:eastAsia="zh-CN" w:bidi="ar"/>
        </w:rPr>
        <w:br w:type="page"/>
      </w:r>
      <w:r>
        <w:rPr>
          <w:rFonts w:hint="eastAsia" w:ascii="黑体" w:hAnsi="宋体" w:eastAsia="黑体" w:cs="黑体"/>
          <w:kern w:val="2"/>
          <w:sz w:val="32"/>
          <w:szCs w:val="32"/>
          <w:lang w:val="en-US" w:eastAsia="zh-CN" w:bidi="ar"/>
        </w:rPr>
        <w:t>附件3</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_GBK" w:hAnsi="华文中宋" w:eastAsia="方正小标宋_GBK" w:cs="Times New Roman"/>
          <w:kern w:val="2"/>
          <w:sz w:val="44"/>
          <w:szCs w:val="44"/>
        </w:rPr>
      </w:pPr>
      <w:r>
        <w:rPr>
          <w:rFonts w:hint="eastAsia" w:ascii="方正小标宋_GBK" w:hAnsi="华文中宋" w:eastAsia="方正小标宋_GBK" w:cs="Times New Roman"/>
          <w:kern w:val="2"/>
          <w:sz w:val="44"/>
          <w:szCs w:val="44"/>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_GBK" w:hAnsi="华文中宋" w:eastAsia="方正小标宋_GBK" w:cs="Times New Roman"/>
          <w:spacing w:val="-20"/>
          <w:kern w:val="2"/>
          <w:sz w:val="44"/>
          <w:szCs w:val="44"/>
        </w:rPr>
      </w:pPr>
      <w:r>
        <w:rPr>
          <w:rFonts w:hint="eastAsia" w:ascii="方正小标宋_GBK" w:hAnsi="方正小标宋_GBK" w:eastAsia="方正小标宋_GBK" w:cs="方正小标宋_GBK"/>
          <w:spacing w:val="-20"/>
          <w:kern w:val="2"/>
          <w:sz w:val="44"/>
          <w:szCs w:val="44"/>
          <w:lang w:val="en-US" w:eastAsia="zh-CN" w:bidi="ar"/>
        </w:rPr>
        <w:t>教育评价改革典型案例申报材料体例和格式要求</w:t>
      </w:r>
    </w:p>
    <w:p>
      <w:pPr>
        <w:keepNext w:val="0"/>
        <w:keepLines w:val="0"/>
        <w:widowControl w:val="0"/>
        <w:suppressLineNumbers w:val="0"/>
        <w:spacing w:before="0" w:beforeAutospacing="0" w:after="0" w:afterAutospacing="0" w:line="580" w:lineRule="exact"/>
        <w:ind w:left="0" w:right="0"/>
        <w:jc w:val="left"/>
        <w:rPr>
          <w:rFonts w:hint="default" w:ascii="Times New Roman" w:hAnsi="Times New Roman" w:eastAsia="黑体" w:cs="Times New Roman"/>
          <w:b/>
          <w:bCs/>
          <w:color w:val="000000"/>
          <w:kern w:val="2"/>
          <w:sz w:val="44"/>
          <w:szCs w:val="44"/>
        </w:rPr>
      </w:pPr>
      <w:r>
        <w:rPr>
          <w:rFonts w:hint="default" w:ascii="Times New Roman" w:hAnsi="Times New Roman" w:eastAsia="黑体" w:cs="Times New Roman"/>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一、关于申报材料格式要求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A4纸张，上边距3.6厘米，下边距3.6厘米，左边距2.7厘米，右边距2.7厘米；</w:t>
      </w:r>
    </w:p>
    <w:p>
      <w:pPr>
        <w:pStyle w:val="2"/>
        <w:widowControl/>
        <w:spacing w:before="0" w:beforeAutospacing="1" w:after="0" w:afterAutospacing="1" w:line="560" w:lineRule="exact"/>
        <w:ind w:left="0" w:leftChars="0" w:right="0" w:firstLine="640" w:firstLineChars="200"/>
        <w:rPr>
          <w:rFonts w:hint="eastAsia" w:ascii="仿宋_GB2312" w:eastAsia="仿宋_GB2312" w:cs="仿宋_GB2312"/>
          <w:kern w:val="2"/>
          <w:sz w:val="32"/>
          <w:szCs w:val="32"/>
        </w:rPr>
      </w:pPr>
      <w:r>
        <w:rPr>
          <w:rFonts w:hint="eastAsia" w:ascii="仿宋_GB2312" w:eastAsia="仿宋_GB2312" w:cs="仿宋_GB2312"/>
          <w:kern w:val="2"/>
          <w:sz w:val="32"/>
          <w:szCs w:val="32"/>
        </w:rPr>
        <w:t>2.标题：需集中反映典型案例的改革方向、主要内容和亮点特色（方正小标宋_GBK 二号 居中），如“基于‘品质指数’的区域中小学学生评价改革实践”“构建全员育人导师制背景下的多元立体学生评价体系”“以代表性成果评价深化职称评审制度改革”等。一般不超过20个字，不设副标题，标题下方居中加括号注明实施单位名称；</w:t>
      </w: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4.正文一级标题使用方正黑体_GBK三号字，序号使用汉字加顿号如：“一、”。二级标题使用方正楷体_GBK三号字，序号使用汉字加括号如：“（一）”。三级标题使用方正仿宋_GBK三号字，序号使用三号Times New Roman字体的阿拉伯数字加点如：“1.”；</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5.正文使用方正仿宋_GBK三号字，首行缩进两字符，行距设置为0.88倍或28磅；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6.正文若配插图，图片下方须附文字说明。</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二、关于申报材料内容</w:t>
      </w:r>
    </w:p>
    <w:p>
      <w:pPr>
        <w:pStyle w:val="2"/>
        <w:widowControl/>
        <w:spacing w:before="0" w:beforeAutospacing="1" w:after="0" w:afterAutospacing="1" w:line="560" w:lineRule="exact"/>
        <w:ind w:left="0" w:leftChars="0" w:right="0" w:firstLine="640" w:firstLineChars="200"/>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kern w:val="2"/>
          <w:sz w:val="32"/>
          <w:szCs w:val="32"/>
        </w:rPr>
        <w:t>主要写三个方面内容，总字数不超过</w:t>
      </w:r>
      <w:r>
        <w:rPr>
          <w:rFonts w:hint="default" w:ascii="Times New Roman" w:hAnsi="Times New Roman" w:eastAsia="方正仿宋_GBK" w:cs="Times New Roman"/>
          <w:kern w:val="2"/>
          <w:sz w:val="32"/>
          <w:szCs w:val="32"/>
        </w:rPr>
        <w:t>3000</w:t>
      </w:r>
      <w:r>
        <w:rPr>
          <w:rFonts w:hint="default" w:ascii="方正仿宋_GBK" w:hAnsi="方正仿宋_GBK" w:eastAsia="方正仿宋_GBK" w:cs="方正仿宋_GBK"/>
          <w:kern w:val="2"/>
          <w:sz w:val="32"/>
          <w:szCs w:val="32"/>
        </w:rPr>
        <w:t>字。内容和格式要求如下：</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1.</w:t>
      </w:r>
      <w:r>
        <w:rPr>
          <w:rFonts w:hint="eastAsia" w:ascii="黑体" w:hAnsi="宋体" w:eastAsia="黑体" w:cs="黑体"/>
          <w:color w:val="000000"/>
          <w:kern w:val="2"/>
          <w:sz w:val="32"/>
          <w:szCs w:val="32"/>
          <w:lang w:val="en-US" w:eastAsia="zh-CN" w:bidi="ar"/>
        </w:rPr>
        <w:t>背景情况（标题自拟）</w:t>
      </w:r>
    </w:p>
    <w:p>
      <w:pPr>
        <w:pStyle w:val="2"/>
        <w:widowControl/>
        <w:spacing w:before="0" w:beforeAutospacing="1" w:after="0" w:afterAutospacing="1" w:line="560" w:lineRule="exact"/>
        <w:ind w:left="0" w:leftChars="0" w:right="0" w:firstLine="640" w:firstLineChars="200"/>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kern w:val="2"/>
          <w:sz w:val="32"/>
          <w:szCs w:val="32"/>
        </w:rPr>
        <w:t>具体介绍为什么开展该项教育评价改革工作探索实践。首先简要介绍该项探索主要针对和重点要解决的教育评价改革具体问题；通过对已有问题的分析，说明出现问题的原因；介绍说明项目探索与实践的政策制度依据。提倡小切口、深挖掘，切忌太笼统、太宏观，也不要大篇幅引用领导讲话。</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2.</w:t>
      </w:r>
      <w:r>
        <w:rPr>
          <w:rFonts w:hint="eastAsia" w:ascii="黑体" w:hAnsi="宋体" w:eastAsia="黑体" w:cs="黑体"/>
          <w:color w:val="000000"/>
          <w:kern w:val="2"/>
          <w:sz w:val="32"/>
          <w:szCs w:val="32"/>
          <w:lang w:val="en-US" w:eastAsia="zh-CN" w:bidi="ar"/>
        </w:rPr>
        <w:t>主要做法（标题自拟）</w:t>
      </w:r>
    </w:p>
    <w:p>
      <w:pPr>
        <w:pStyle w:val="2"/>
        <w:widowControl/>
        <w:spacing w:before="0" w:beforeAutospacing="1" w:after="0" w:afterAutospacing="1" w:line="560" w:lineRule="exact"/>
        <w:ind w:left="0" w:leftChars="0" w:right="0" w:firstLine="640" w:firstLineChars="200"/>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kern w:val="2"/>
          <w:sz w:val="32"/>
          <w:szCs w:val="32"/>
        </w:rPr>
        <w:t>具体介绍为解决教育评价领域存在上述问题做了什么。总的指导思想是什么，解决思路是什么，具体怎么做的，措施实施后的反馈是什么，是否解决问题。要注意点明项目的创新点以及创新点在实践中得到的有效反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3.</w:t>
      </w:r>
      <w:r>
        <w:rPr>
          <w:rFonts w:hint="eastAsia" w:ascii="黑体" w:hAnsi="宋体" w:eastAsia="黑体" w:cs="黑体"/>
          <w:color w:val="000000"/>
          <w:kern w:val="2"/>
          <w:sz w:val="32"/>
          <w:szCs w:val="32"/>
          <w:lang w:val="en-US" w:eastAsia="zh-CN" w:bidi="ar"/>
        </w:rPr>
        <w:t>经验启示</w:t>
      </w:r>
      <w:r>
        <w:rPr>
          <w:rFonts w:hint="default" w:ascii="Times New Roman" w:hAnsi="Times New Roman" w:eastAsia="黑体" w:cs="Times New Roman"/>
          <w:color w:val="000000"/>
          <w:kern w:val="2"/>
          <w:sz w:val="32"/>
          <w:szCs w:val="32"/>
          <w:lang w:val="en-US" w:eastAsia="zh-CN" w:bidi="ar"/>
        </w:rPr>
        <w:t>/</w:t>
      </w:r>
      <w:r>
        <w:rPr>
          <w:rFonts w:hint="eastAsia" w:ascii="黑体" w:hAnsi="宋体" w:eastAsia="黑体" w:cs="黑体"/>
          <w:color w:val="000000"/>
          <w:kern w:val="2"/>
          <w:sz w:val="32"/>
          <w:szCs w:val="32"/>
          <w:lang w:val="en-US" w:eastAsia="zh-CN" w:bidi="ar"/>
        </w:rPr>
        <w:t>成效（标题自拟）</w:t>
      </w:r>
    </w:p>
    <w:p>
      <w:pPr>
        <w:pStyle w:val="2"/>
        <w:widowControl/>
        <w:spacing w:before="0" w:beforeAutospacing="1" w:after="0" w:afterAutospacing="1" w:line="560" w:lineRule="exact"/>
        <w:ind w:left="0" w:leftChars="0" w:right="0" w:firstLine="640" w:firstLineChars="200"/>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kern w:val="2"/>
          <w:sz w:val="32"/>
          <w:szCs w:val="32"/>
        </w:rPr>
        <w:t>主要介绍在探索教育评价改革改革过程中总结积累的经验、启示、成效和下一步的考虑。</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000000"/>
          <w:kern w:val="2"/>
          <w:sz w:val="40"/>
          <w:szCs w:val="40"/>
          <w:lang w:val="en-US" w:eastAsia="zh-CN" w:bidi="ar"/>
        </w:rPr>
      </w:pPr>
      <w:r>
        <w:rPr>
          <w:rFonts w:hint="default" w:ascii="Times New Roman" w:hAnsi="Times New Roman" w:eastAsia="黑体" w:cs="Times New Roman"/>
          <w:color w:val="000000"/>
          <w:kern w:val="2"/>
          <w:sz w:val="40"/>
          <w:szCs w:val="4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000000"/>
          <w:kern w:val="2"/>
          <w:sz w:val="40"/>
          <w:szCs w:val="40"/>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000000"/>
          <w:kern w:val="2"/>
          <w:sz w:val="40"/>
          <w:szCs w:val="40"/>
          <w:lang w:val="en-US" w:eastAsia="zh-CN" w:bidi="ar"/>
        </w:rPr>
      </w:pPr>
      <w:bookmarkStart w:id="0" w:name="_GoBack"/>
      <w:bookmarkEnd w:id="0"/>
    </w:p>
    <w:p>
      <w:pPr>
        <w:keepNext w:val="0"/>
        <w:keepLines w:val="0"/>
        <w:widowControl w:val="0"/>
        <w:suppressLineNumbers w:val="0"/>
        <w:spacing w:before="0" w:beforeAutospacing="0" w:after="0" w:afterAutospacing="0" w:line="560" w:lineRule="exact"/>
        <w:ind w:left="0" w:right="0" w:firstLine="320" w:firstLineChars="100"/>
        <w:jc w:val="center"/>
        <w:rPr>
          <w:rFonts w:hint="default" w:ascii="Times New Roman" w:hAnsi="Times New Roman" w:eastAsia="黑体" w:cs="Times New Roman"/>
          <w:kern w:val="2"/>
          <w:sz w:val="32"/>
          <w:szCs w:val="32"/>
        </w:rPr>
      </w:pPr>
      <w:r>
        <w:rPr>
          <w:rFonts w:hint="eastAsia" w:ascii="黑体" w:hAnsi="宋体" w:eastAsia="黑体" w:cs="黑体"/>
          <w:color w:val="000000"/>
          <w:kern w:val="2"/>
          <w:sz w:val="32"/>
          <w:szCs w:val="32"/>
          <w:lang w:val="en-US" w:eastAsia="zh-CN" w:bidi="ar"/>
        </w:rPr>
        <w:t>三、教育评价改革典型案例申报模板</w:t>
      </w:r>
      <w:r>
        <w:rPr>
          <w:rFonts w:hint="default" w:ascii="Times New Roman" w:hAnsi="Times New Roman" w:eastAsia="黑体" w:cs="Times New Roman"/>
          <w:b/>
          <w:bCs/>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新宋体" w:cs="Times New Roman"/>
          <w:b/>
          <w:bCs/>
          <w:color w:val="000000"/>
          <w:kern w:val="2"/>
          <w:sz w:val="44"/>
          <w:szCs w:val="44"/>
        </w:rPr>
      </w:pPr>
      <w:r>
        <w:rPr>
          <w:rFonts w:hint="default" w:ascii="Times New Roman" w:hAnsi="Times New Roman" w:eastAsia="新宋体" w:cs="Times New Roman"/>
          <w:b/>
          <w:bCs/>
          <w:color w:val="000000"/>
          <w:kern w:val="2"/>
          <w:sz w:val="44"/>
          <w:szCs w:val="44"/>
          <w:lang w:val="en-US" w:eastAsia="zh-CN" w:bidi="ar"/>
        </w:rPr>
        <w:t>XXXXXXXXXXXXX</w:t>
      </w:r>
    </w:p>
    <w:p>
      <w:pPr>
        <w:pStyle w:val="6"/>
        <w:widowControl/>
        <w:spacing w:line="560" w:lineRule="exact"/>
        <w:jc w:val="center"/>
        <w:rPr>
          <w:rFonts w:hint="default" w:ascii="方正楷体_GBK" w:hAnsi="方正楷体_GBK" w:eastAsia="方正楷体_GBK" w:cs="方正楷体_GBK"/>
          <w:kern w:val="2"/>
          <w:sz w:val="32"/>
          <w:szCs w:val="32"/>
        </w:rPr>
      </w:pPr>
      <w:r>
        <w:rPr>
          <w:rFonts w:hint="default" w:ascii="方正楷体_GBK" w:hAnsi="方正楷体_GBK" w:eastAsia="方正楷体_GBK" w:cs="方正楷体_GBK"/>
          <w:b/>
          <w:bCs/>
          <w:color w:val="000000"/>
          <w:kern w:val="2"/>
          <w:sz w:val="32"/>
          <w:szCs w:val="32"/>
        </w:rPr>
        <w:t>(</w:t>
      </w:r>
      <w:r>
        <w:rPr>
          <w:rFonts w:hint="default" w:ascii="Times New Roman" w:hAnsi="Times New Roman" w:eastAsia="仿宋" w:cs="Times New Roman"/>
          <w:color w:val="000000"/>
          <w:kern w:val="2"/>
          <w:sz w:val="32"/>
          <w:szCs w:val="32"/>
        </w:rPr>
        <w:t>XXXX</w:t>
      </w:r>
      <w:r>
        <w:rPr>
          <w:rFonts w:hint="default" w:ascii="方正楷体_GBK" w:hAnsi="方正楷体_GBK" w:eastAsia="方正楷体_GBK" w:cs="方正楷体_GBK"/>
          <w:b/>
          <w:bCs/>
          <w:color w:val="000000"/>
          <w:kern w:val="2"/>
          <w:sz w:val="32"/>
          <w:szCs w:val="32"/>
        </w:rPr>
        <w:t>实施单位)</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一、背景情况</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lang w:val="en-US" w:eastAsia="zh-CN" w:bidi="ar"/>
        </w:rPr>
        <w:t>XXXXXXXXXXXXXXXXXXXXXXXXXXXXXXXXXXXXXXXXXXXXXXXXXXXXXXXXXXXXXXXXXXXXXXXXXXXXXXXXXXXXXXXXXXXXXXXXXX</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二、主要做法</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lang w:val="en-US" w:eastAsia="zh-CN" w:bidi="ar"/>
        </w:rPr>
        <w:t>XXXXXXXXXXXXXXXXXXXXXXXXXXXXXXXXXXXXXXXXXXXXXXXXXXXXXXXXXXXXXXXXXXXXXXXXXXXXXXXXXXXXXXXXXXXXXXXXXX</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三、经验启示</w:t>
      </w:r>
      <w:r>
        <w:rPr>
          <w:rFonts w:hint="default" w:ascii="Times New Roman" w:hAnsi="Times New Roman" w:eastAsia="黑体" w:cs="Times New Roman"/>
          <w:color w:val="000000"/>
          <w:kern w:val="2"/>
          <w:sz w:val="32"/>
          <w:szCs w:val="32"/>
          <w:lang w:val="en-US" w:eastAsia="zh-CN" w:bidi="ar"/>
        </w:rPr>
        <w:t>/</w:t>
      </w:r>
      <w:r>
        <w:rPr>
          <w:rFonts w:hint="eastAsia" w:ascii="黑体" w:hAnsi="宋体" w:eastAsia="黑体" w:cs="黑体"/>
          <w:color w:val="000000"/>
          <w:kern w:val="2"/>
          <w:sz w:val="32"/>
          <w:szCs w:val="32"/>
          <w:lang w:val="en-US" w:eastAsia="zh-CN" w:bidi="ar"/>
        </w:rPr>
        <w:t>成效</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lang w:val="en-US" w:eastAsia="zh-CN" w:bidi="ar"/>
        </w:rPr>
        <w:t>XXXXXXXXXXXXXXXXXXXXXXXXXXXXXXXXXXXXXXXXXXXXXXXXXXXXXXXXXXXXXXXXXXXXXXXXXXXXXXXXXXXXXXXXXXXXXXXXXX</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仿宋_GB2312" w:eastAsia="方正仿宋_GBK" w:cs="仿宋_GB2312"/>
          <w:color w:val="000000"/>
          <w:kern w:val="2"/>
          <w:sz w:val="32"/>
          <w:szCs w:val="32"/>
        </w:rPr>
      </w:pPr>
      <w:r>
        <w:rPr>
          <w:rFonts w:hint="default" w:ascii="Times New Roman" w:hAnsi="仿宋_GB2312" w:eastAsia="方正仿宋_GBK"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Times New Roman" w:hAnsi="仿宋_GB2312" w:eastAsia="方正仿宋_GBK" w:cs="仿宋_GB2312"/>
          <w:color w:val="000000"/>
          <w:kern w:val="2"/>
          <w:sz w:val="32"/>
          <w:szCs w:val="32"/>
        </w:rPr>
      </w:pPr>
      <w:r>
        <w:rPr>
          <w:rFonts w:hint="default" w:ascii="Times New Roman" w:hAnsi="仿宋_GB2312" w:eastAsia="方正仿宋_GBK"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firstLine="4800" w:firstLineChars="1500"/>
        <w:jc w:val="left"/>
        <w:rPr>
          <w:rFonts w:hint="default" w:ascii="Times New Roman" w:hAnsi="Times New Roman" w:eastAsia="方正仿宋_GBK" w:cs="Times New Roman"/>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AA0E88D-D880-426D-99E8-5C0E7A21CF2B}"/>
  </w:font>
  <w:font w:name="黑体">
    <w:panose1 w:val="02010609060101010101"/>
    <w:charset w:val="86"/>
    <w:family w:val="auto"/>
    <w:pitch w:val="default"/>
    <w:sig w:usb0="800002BF" w:usb1="38CF7CFA" w:usb2="00000016" w:usb3="00000000" w:csb0="00040001" w:csb1="00000000"/>
    <w:embedRegular r:id="rId2" w:fontKey="{31EB26CC-73F8-4623-9F4A-2959519139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embedRegular r:id="rId3" w:fontKey="{E5E20029-88A8-414B-8064-1967941B912E}"/>
  </w:font>
  <w:font w:name="方正小标宋_GBK">
    <w:panose1 w:val="02000000000000000000"/>
    <w:charset w:val="86"/>
    <w:family w:val="auto"/>
    <w:pitch w:val="default"/>
    <w:sig w:usb0="A00002BF" w:usb1="38CF7CFA" w:usb2="00082016" w:usb3="00000000" w:csb0="00040001" w:csb1="00000000"/>
    <w:embedRegular r:id="rId4" w:fontKey="{D9B0CB47-0A5D-436D-BBAF-F189B84A9966}"/>
  </w:font>
  <w:font w:name="华文中宋">
    <w:panose1 w:val="02010600040101010101"/>
    <w:charset w:val="86"/>
    <w:family w:val="auto"/>
    <w:pitch w:val="default"/>
    <w:sig w:usb0="00000287" w:usb1="080F0000" w:usb2="00000000" w:usb3="00000000" w:csb0="0004009F" w:csb1="DFD70000"/>
    <w:embedRegular r:id="rId5" w:fontKey="{4E469952-0B16-4443-BE2B-6F816E3772EB}"/>
  </w:font>
  <w:font w:name="方正楷体_GBK">
    <w:altName w:val="Arial Unicode MS"/>
    <w:panose1 w:val="00000000000000000000"/>
    <w:charset w:val="00"/>
    <w:family w:val="auto"/>
    <w:pitch w:val="default"/>
    <w:sig w:usb0="00000000" w:usb1="00000000" w:usb2="00000000" w:usb3="00000000" w:csb0="00000000" w:csb1="00000000"/>
    <w:embedRegular r:id="rId6" w:fontKey="{267795A0-46F5-4D9A-AB8B-71A184E4EB0C}"/>
  </w:font>
  <w:font w:name="仿宋_GB2312">
    <w:panose1 w:val="02010609030101010101"/>
    <w:charset w:val="86"/>
    <w:family w:val="auto"/>
    <w:pitch w:val="default"/>
    <w:sig w:usb0="00000001" w:usb1="080E0000" w:usb2="00000000" w:usb3="00000000" w:csb0="00040000" w:csb1="00000000"/>
    <w:embedRegular r:id="rId7" w:fontKey="{A9F208A3-E506-458C-8EB3-21FAD298FEBF}"/>
  </w:font>
  <w:font w:name="新宋体">
    <w:panose1 w:val="02010609030101010101"/>
    <w:charset w:val="86"/>
    <w:family w:val="auto"/>
    <w:pitch w:val="default"/>
    <w:sig w:usb0="00000283" w:usb1="288F0000" w:usb2="00000006" w:usb3="00000000" w:csb0="00040001" w:csb1="00000000"/>
    <w:embedRegular r:id="rId8" w:fontKey="{B6FAE97D-7F27-4938-8756-06E4CD63FFBA}"/>
  </w:font>
  <w:font w:name="仿宋">
    <w:panose1 w:val="02010609060101010101"/>
    <w:charset w:val="86"/>
    <w:family w:val="auto"/>
    <w:pitch w:val="default"/>
    <w:sig w:usb0="800002BF" w:usb1="38CF7CFA" w:usb2="00000016" w:usb3="00000000" w:csb0="00040001" w:csb1="00000000"/>
    <w:embedRegular r:id="rId9" w:fontKey="{BCE86F07-527A-46D1-BE2C-CC054E3CF531}"/>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mM4NWRjNTg1MTBlY2U3NzAzMDA2YWMxOTRiZWIifQ=="/>
  </w:docVars>
  <w:rsids>
    <w:rsidRoot w:val="3064293F"/>
    <w:rsid w:val="3064293F"/>
    <w:rsid w:val="7EDF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3"/>
    <w:basedOn w:val="1"/>
    <w:next w:val="1"/>
    <w:qFormat/>
    <w:uiPriority w:val="0"/>
    <w:pPr>
      <w:keepNext w:val="0"/>
      <w:keepLines w:val="0"/>
      <w:widowControl w:val="0"/>
      <w:suppressLineNumbers w:val="0"/>
      <w:ind w:left="840" w:leftChars="400"/>
      <w:jc w:val="both"/>
    </w:pPr>
    <w:rPr>
      <w:rFonts w:hint="default" w:ascii="Times New Roman" w:hAnsi="Times New Roman" w:eastAsia="方正仿宋_GBK" w:cs="Times New Roman"/>
      <w:kern w:val="2"/>
      <w:sz w:val="32"/>
      <w:szCs w:val="32"/>
      <w:lang w:val="en-US" w:eastAsia="zh-CN" w:bidi="ar"/>
    </w:rPr>
  </w:style>
  <w:style w:type="paragraph" w:styleId="3">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6">
    <w:name w:val="正文文本缩进 21"/>
    <w:basedOn w:val="1"/>
    <w:qFormat/>
    <w:uiPriority w:val="0"/>
    <w:pPr>
      <w:keepNext w:val="0"/>
      <w:keepLines w:val="0"/>
      <w:widowControl w:val="0"/>
      <w:suppressLineNumbers w:val="0"/>
      <w:spacing w:before="0" w:beforeAutospacing="0" w:after="0" w:afterAutospacing="0" w:line="590" w:lineRule="exact"/>
      <w:ind w:left="0" w:right="0" w:firstLine="880" w:firstLineChars="200"/>
      <w:jc w:val="both"/>
    </w:pPr>
    <w:rPr>
      <w:rFonts w:hint="default" w:ascii="Times New Roman" w:hAnsi="Times New Roman" w:eastAsia="方正仿宋_GBK"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1156</Words>
  <Characters>1517</Characters>
  <Lines>0</Lines>
  <Paragraphs>0</Paragraphs>
  <TotalTime>13</TotalTime>
  <ScaleCrop>false</ScaleCrop>
  <LinksUpToDate>false</LinksUpToDate>
  <CharactersWithSpaces>1576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2023-04-11T01:24:00Z</dcterms:created>
  <dc:creator>姜晓斌</dc:creator>
  <cp:lastModifiedBy>姜晓斌</cp:lastModifiedBy>
  <dcterms:modified xsi:type="dcterms:W3CDTF">2023-04-11T02:34:53Z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B33319AC119D41BBBED7AE7D628DA099_11</vt:lpwstr>
  </property>
</Properties>
</file>